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544" w:rsidRPr="006760D9" w:rsidRDefault="000E7544" w:rsidP="006760D9">
      <w:pPr>
        <w:rPr>
          <w:rFonts w:ascii="Times New Roman" w:hAnsi="Times New Roman" w:cs="Times New Roman"/>
          <w:b/>
          <w:sz w:val="20"/>
          <w:szCs w:val="20"/>
          <w:lang w:eastAsia="pl-PL"/>
        </w:rPr>
      </w:pPr>
      <w:bookmarkStart w:id="0" w:name="_GoBack"/>
      <w:bookmarkEnd w:id="0"/>
      <w:r w:rsidRPr="006760D9">
        <w:rPr>
          <w:rFonts w:ascii="Times New Roman" w:hAnsi="Times New Roman" w:cs="Times New Roman"/>
          <w:b/>
          <w:lang w:eastAsia="pl-PL"/>
        </w:rPr>
        <w:t> </w:t>
      </w:r>
    </w:p>
    <w:p w:rsidR="000E7544" w:rsidRPr="006760D9" w:rsidRDefault="000E7544" w:rsidP="006760D9">
      <w:pPr>
        <w:rPr>
          <w:rFonts w:ascii="Times New Roman" w:hAnsi="Times New Roman" w:cs="Times New Roman"/>
          <w:b/>
          <w:sz w:val="52"/>
          <w:szCs w:val="52"/>
          <w:lang w:eastAsia="pl-PL"/>
        </w:rPr>
      </w:pPr>
      <w:r w:rsidRPr="006760D9">
        <w:rPr>
          <w:rFonts w:ascii="Times New Roman" w:hAnsi="Times New Roman" w:cs="Times New Roman"/>
          <w:b/>
          <w:sz w:val="52"/>
          <w:szCs w:val="52"/>
          <w:lang w:eastAsia="pl-PL"/>
        </w:rPr>
        <w:t>D - 07.01.01</w:t>
      </w:r>
    </w:p>
    <w:p w:rsidR="000E7544" w:rsidRPr="006760D9" w:rsidRDefault="000E7544" w:rsidP="006760D9">
      <w:pPr>
        <w:rPr>
          <w:rFonts w:ascii="Times New Roman" w:hAnsi="Times New Roman" w:cs="Times New Roman"/>
          <w:b/>
          <w:sz w:val="20"/>
          <w:szCs w:val="20"/>
          <w:lang w:eastAsia="pl-PL"/>
        </w:rPr>
      </w:pPr>
      <w:r w:rsidRPr="006760D9">
        <w:rPr>
          <w:rFonts w:ascii="Times New Roman" w:hAnsi="Times New Roman" w:cs="Times New Roman"/>
          <w:b/>
          <w:sz w:val="27"/>
          <w:szCs w:val="27"/>
          <w:lang w:eastAsia="pl-PL"/>
        </w:rPr>
        <w:t> </w:t>
      </w:r>
      <w:r w:rsidRPr="006760D9">
        <w:rPr>
          <w:rFonts w:ascii="Times New Roman" w:hAnsi="Times New Roman" w:cs="Times New Roman"/>
          <w:b/>
          <w:sz w:val="36"/>
          <w:szCs w:val="36"/>
          <w:lang w:eastAsia="pl-PL"/>
        </w:rPr>
        <w:t>OZNAKOWANIE  POZIOME</w:t>
      </w:r>
      <w:r w:rsidRPr="006760D9">
        <w:rPr>
          <w:rFonts w:ascii="Times New Roman" w:hAnsi="Times New Roman" w:cs="Times New Roman"/>
          <w:b/>
          <w:sz w:val="20"/>
          <w:szCs w:val="20"/>
          <w:lang w:eastAsia="pl-PL"/>
        </w:rPr>
        <w:t> </w:t>
      </w:r>
    </w:p>
    <w:p w:rsidR="006760D9" w:rsidRPr="006760D9" w:rsidRDefault="006760D9" w:rsidP="006760D9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" w:name="_Toc404150096"/>
      <w:bookmarkStart w:id="2" w:name="_Toc416830698"/>
      <w:bookmarkStart w:id="3" w:name="_Toc420816680"/>
      <w:r w:rsidRPr="006760D9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1. WSTĘP</w:t>
      </w:r>
      <w:bookmarkEnd w:id="1"/>
      <w:bookmarkEnd w:id="2"/>
      <w:bookmarkEnd w:id="3"/>
    </w:p>
    <w:p w:rsidR="006760D9" w:rsidRPr="006760D9" w:rsidRDefault="00E70E56" w:rsidP="006760D9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4" w:name="_Toc405615031"/>
      <w:bookmarkStart w:id="5" w:name="_Toc407161179"/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1.1. Przedmiot S</w:t>
      </w:r>
      <w:r w:rsidR="006760D9"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ST</w:t>
      </w:r>
      <w:bookmarkEnd w:id="4"/>
      <w:bookmarkEnd w:id="5"/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Przedmiotem niniejszej </w:t>
      </w:r>
      <w:r w:rsidR="00D027F4">
        <w:rPr>
          <w:rFonts w:ascii="Times New Roman" w:eastAsia="Times New Roman" w:hAnsi="Times New Roman" w:cs="Times New Roman"/>
          <w:sz w:val="20"/>
          <w:szCs w:val="20"/>
          <w:lang w:eastAsia="pl-PL"/>
        </w:rPr>
        <w:t>szczegółowej specyfikacji technicznej (S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ST) są wymagania dotyczące wykonania i odbioru oznakowania poziomego dróg.</w:t>
      </w:r>
    </w:p>
    <w:p w:rsidR="006760D9" w:rsidRPr="006760D9" w:rsidRDefault="00D027F4" w:rsidP="006760D9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6" w:name="_Toc405615033"/>
      <w:bookmarkStart w:id="7" w:name="_Toc407161181"/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1.2. Zakres robót objętych S</w:t>
      </w:r>
      <w:r w:rsidR="006760D9"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ST</w:t>
      </w:r>
      <w:bookmarkEnd w:id="6"/>
      <w:bookmarkEnd w:id="7"/>
    </w:p>
    <w:p w:rsidR="00E70E56" w:rsidRDefault="006760D9" w:rsidP="006760D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Ustalenia zawarte w niniejszej specyfikacji dotyczą zasad prowadzenia robót związanych z wykonywaniem 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i odbiorem oznakowania poziomego stosowanego na drogach o nawierzchni twardej.</w:t>
      </w:r>
    </w:p>
    <w:p w:rsidR="006760D9" w:rsidRPr="006760D9" w:rsidRDefault="00D027F4" w:rsidP="006760D9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1.2</w:t>
      </w:r>
      <w:r w:rsidR="006760D9"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 Określenia podstawowe</w:t>
      </w:r>
    </w:p>
    <w:p w:rsidR="006760D9" w:rsidRPr="006760D9" w:rsidRDefault="00D027F4" w:rsidP="006760D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1.2</w:t>
      </w:r>
      <w:r w:rsidR="006760D9"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.1. </w:t>
      </w:r>
      <w:r w:rsidR="006760D9"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Oznakowanie poziome - znaki drogowe poziome, umieszczone na nawierzchni w postaci linii ciągłych lub przerywanych, pojedynczych lub podwójnych, strzałek, napisów, symboli oraz innych linii związanych z oznaczeniem określonych miejsc na tej nawierzchni. W zależności od rodzaju i sposobu zastosowania znaki poziome mogą mieć znaczenie prowadzące, segregujące, informujące, ostrzegawcze, zakazujące lub nakazujące.</w:t>
      </w:r>
    </w:p>
    <w:p w:rsidR="006760D9" w:rsidRPr="006760D9" w:rsidRDefault="00D027F4" w:rsidP="006760D9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1.2</w:t>
      </w:r>
      <w:r w:rsidR="006760D9"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.2. </w:t>
      </w:r>
      <w:r w:rsidR="006760D9"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Znaki podłużne - linie równoległe do osi jezdni lub odchylone od niej pod niewielkim kątem, występujące jako linie: – pojedyncze: przerywane lub ciągłe, segregacyjne lub krawędziowe, – podwójne: ciągłe z przerywanymi, ciągłe lub przerywane.</w:t>
      </w:r>
    </w:p>
    <w:p w:rsidR="006760D9" w:rsidRPr="006760D9" w:rsidRDefault="00D027F4" w:rsidP="006760D9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1.2</w:t>
      </w:r>
      <w:r w:rsidR="006760D9"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.3. </w:t>
      </w:r>
      <w:r w:rsidR="006760D9"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Strzałki - znaki poziome na nawierzchni, występujące jako strzałki kierunkowe służące do wskazania dozwolonego kierunku zjazdu z pasa oraz strzałki naprowadzające, które uprzedzają o konieczności opuszczenia pasa, na którym się znajdują.</w:t>
      </w:r>
    </w:p>
    <w:p w:rsidR="006760D9" w:rsidRPr="006760D9" w:rsidRDefault="00D027F4" w:rsidP="006760D9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1.2</w:t>
      </w:r>
      <w:r w:rsidR="006760D9"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.4. </w:t>
      </w:r>
      <w:r w:rsidR="006760D9"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Znaki poprzeczne - znaki służące do oznaczenia miejsc przeznaczonych do ruchu pieszych i rowerzystów w poprzek drogi, miejsc wymagających zatrzymania pojazdów oraz miejsc lokalizacji progów zwalniających.</w:t>
      </w:r>
    </w:p>
    <w:p w:rsidR="006760D9" w:rsidRPr="006760D9" w:rsidRDefault="00D027F4" w:rsidP="006760D9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1.2</w:t>
      </w:r>
      <w:r w:rsidR="006760D9"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.5. </w:t>
      </w:r>
      <w:r w:rsidR="006760D9"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Znaki uzupełniające - znaki o różnych kształtach, wymiarach i przeznaczeniu, występujące w postaci symboli, napisów, linii przystankowych, stanowisk i pasów postojowych, powierzchni wyłączonych z ruchu oraz symboli znaków pionowych w oznakowaniu poziomym.</w:t>
      </w:r>
    </w:p>
    <w:p w:rsidR="006760D9" w:rsidRPr="006760D9" w:rsidRDefault="00D027F4" w:rsidP="006760D9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1.2</w:t>
      </w:r>
      <w:r w:rsidR="006760D9"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.6. </w:t>
      </w:r>
      <w:r w:rsidR="006760D9"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Materiały do poziomego znakowania dróg - materiały zawierające rozpuszczalniki, wolne od rozpuszczalników lub punktowe elementy odblaskowe, które mogą zostać naniesione albo wbudowane przez malowanie, natryskiwanie, odlewanie, wytłaczanie, rolowanie, klejenie itp. na nawierzchnie drogowe, stosowane w temperaturze otoczenia lub w temperaturze podwyższonej. Materiały te powinny posiadać właściwości odblaskowe.</w:t>
      </w:r>
    </w:p>
    <w:p w:rsidR="006760D9" w:rsidRPr="006760D9" w:rsidRDefault="00D027F4" w:rsidP="006760D9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1.2</w:t>
      </w:r>
      <w:r w:rsidR="006760D9"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.7. </w:t>
      </w:r>
      <w:r w:rsidR="006760D9"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Materiały do znakowania cienkowarstwowego - farby rozpuszczalnikowe, wodorozcieńczalne i chemoutwardzalne nakładane warstwą grubości od </w:t>
      </w:r>
      <w:smartTag w:uri="urn:schemas-microsoft-com:office:smarttags" w:element="metricconverter">
        <w:smartTagPr>
          <w:attr w:name="ProductID" w:val="0,4 mm"/>
        </w:smartTagPr>
        <w:r w:rsidR="006760D9" w:rsidRPr="006760D9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0,4 mm</w:t>
        </w:r>
      </w:smartTag>
      <w:r w:rsidR="006760D9"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 </w:t>
      </w:r>
      <w:smartTag w:uri="urn:schemas-microsoft-com:office:smarttags" w:element="metricconverter">
        <w:smartTagPr>
          <w:attr w:name="ProductID" w:val="0,8 mm"/>
        </w:smartTagPr>
        <w:r w:rsidR="006760D9" w:rsidRPr="006760D9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0,8 mm</w:t>
        </w:r>
      </w:smartTag>
      <w:r w:rsidR="006760D9"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, mierzoną na mokro.</w:t>
      </w:r>
    </w:p>
    <w:p w:rsidR="006760D9" w:rsidRPr="006760D9" w:rsidRDefault="00D027F4" w:rsidP="006760D9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1.2</w:t>
      </w:r>
      <w:r w:rsidR="006760D9"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.8. </w:t>
      </w:r>
      <w:r w:rsidR="006760D9"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Materiały do znakowania grubowarstwowego - materiały nakładane warstwą grubości od </w:t>
      </w:r>
      <w:smartTag w:uri="urn:schemas-microsoft-com:office:smarttags" w:element="metricconverter">
        <w:smartTagPr>
          <w:attr w:name="ProductID" w:val="0,9 mm"/>
        </w:smartTagPr>
        <w:r w:rsidR="006760D9" w:rsidRPr="006760D9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0,9 mm</w:t>
        </w:r>
      </w:smartTag>
      <w:r w:rsidR="006760D9"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 </w:t>
      </w:r>
      <w:smartTag w:uri="urn:schemas-microsoft-com:office:smarttags" w:element="metricconverter">
        <w:smartTagPr>
          <w:attr w:name="ProductID" w:val="3,5 mm"/>
        </w:smartTagPr>
        <w:r w:rsidR="006760D9" w:rsidRPr="006760D9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3,5 mm</w:t>
        </w:r>
      </w:smartTag>
      <w:r w:rsidR="006760D9"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Należą do nich masy termoplastyczne i masy chemoutwardzalne stosowane na zimno. Dla linii strukturalnych i profilowanych grubość linii może wynosić </w:t>
      </w:r>
      <w:smartTag w:uri="urn:schemas-microsoft-com:office:smarttags" w:element="metricconverter">
        <w:smartTagPr>
          <w:attr w:name="ProductID" w:val="5 mm"/>
        </w:smartTagPr>
        <w:r w:rsidR="006760D9" w:rsidRPr="006760D9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5 mm</w:t>
        </w:r>
      </w:smartTag>
      <w:r w:rsidR="006760D9"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:rsidR="006760D9" w:rsidRPr="006760D9" w:rsidRDefault="00D027F4" w:rsidP="006760D9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1.2</w:t>
      </w:r>
      <w:r w:rsidR="006760D9"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.9. </w:t>
      </w:r>
      <w:r w:rsidR="006760D9"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Materiały prefabrykowane - materiały, które łączy się z powierzchnią drogi przez klejenie, wtapianie, wbudowanie lub w inny sposób. Zalicza się do nich masy termoplastyczne w arkuszach do wtapiania oraz taśmy do oznakowań tymczasowych (żółte) i trwałych (białe).</w:t>
      </w:r>
    </w:p>
    <w:p w:rsidR="006760D9" w:rsidRPr="006760D9" w:rsidRDefault="00D027F4" w:rsidP="006760D9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1.2</w:t>
      </w:r>
      <w:r w:rsidR="006760D9"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.10. </w:t>
      </w:r>
      <w:r w:rsidR="006760D9"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Punktowe elementy odblaskowe - urządzenia prowadzenia poziomego, o różnym kształcie, wielkości i wysokość oraz rodzaju i liczbie zastosowanych odbłyśników, które odbijają padające z boku oświetlenie w celu ostrzegania, prowadzenia i informowania użytkowników drogi. Punktowy element odblaskowy może składać się z jednej lub kilku integralnie związanych ze sobą części, może być przyklejony, zakotwiczony  lub wbudowany w nawierzchnię drogi. Część odblaskowa może być jedno lub dwukierunkowa, może się zginać lub nie. Element ten może być typu stałego (P) lub tymczasowego (T).</w:t>
      </w:r>
    </w:p>
    <w:p w:rsidR="006760D9" w:rsidRPr="006760D9" w:rsidRDefault="00D027F4" w:rsidP="006760D9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1.2</w:t>
      </w:r>
      <w:r w:rsidR="006760D9"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.11. </w:t>
      </w:r>
      <w:r w:rsidR="006760D9"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Kulki szklane – materiał w postaci przezroczystych, kulistych cząstek szklanych do posypywania lub narzucania pod ciśnieniem na oznakowanie wykonane materiałami w stanie ciekłym, w celu uzyskania widzialności oznakowania </w:t>
      </w:r>
      <w:r w:rsidR="006760D9"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w nocy przez odbicie powrotne padającej wiązki światła pojazdu w kierunku kierowcy. Kulki szklane są także składnikami materiałów grubowarstwowych.</w:t>
      </w:r>
    </w:p>
    <w:p w:rsidR="006760D9" w:rsidRPr="006760D9" w:rsidRDefault="00D027F4" w:rsidP="006760D9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1.2</w:t>
      </w:r>
      <w:r w:rsidR="006760D9"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.12. </w:t>
      </w:r>
      <w:r w:rsidR="006760D9"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Kruszywo przeciwpoślizgowe – twarde ziarna pochodzenia naturalnego lub sztucznego stosowane do zapewnienia własności przeciwpoślizgowych poziomym oznakowaniom dróg, stosowane samo lub w mieszaninie z kulkami szklanymi.</w:t>
      </w:r>
    </w:p>
    <w:p w:rsidR="006760D9" w:rsidRPr="006760D9" w:rsidRDefault="00D027F4" w:rsidP="006760D9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1.2</w:t>
      </w:r>
      <w:r w:rsidR="006760D9"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.13. </w:t>
      </w:r>
      <w:r w:rsidR="006760D9"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Oznakowanie nowe – oznakowanie, w którym zakończył się czas schnięcia i nie upłynęło 30 dni od wykonania oznakowania. Pomiary właściwości oznakowania należy wykonywać od 14 do 30 dnia po wykonaniu oznakowania.</w:t>
      </w:r>
    </w:p>
    <w:p w:rsidR="006760D9" w:rsidRPr="006760D9" w:rsidRDefault="00D027F4" w:rsidP="006760D9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1.2</w:t>
      </w:r>
      <w:r w:rsidR="006760D9"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.14. </w:t>
      </w:r>
      <w:r w:rsidR="006760D9"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Tymczasowe oznakowanie drogowe - oznakowanie z materiału o barwie żółtej, którego czas użytkowania wynosi do 3 miesięcy lub do czasu zakończenia robót.</w:t>
      </w:r>
    </w:p>
    <w:p w:rsidR="006760D9" w:rsidRPr="006760D9" w:rsidRDefault="00D027F4" w:rsidP="006760D9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1.2</w:t>
      </w:r>
      <w:r w:rsidR="006760D9"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.15. </w:t>
      </w:r>
      <w:r w:rsidR="006760D9"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Powyższe i pozostałe określenia są zgodne z odpowiednimi polskimi normami i z definicjami podanymi w OST D-M-00.00.00 „Wymagania ogólne” pkt 1.4. </w:t>
      </w:r>
    </w:p>
    <w:p w:rsidR="006760D9" w:rsidRPr="006760D9" w:rsidRDefault="00D027F4" w:rsidP="006760D9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1.3</w:t>
      </w:r>
      <w:r w:rsidR="006760D9"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 Ogólne wymagania dotyczące robót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Ogólne wymagania dotyczące robót podano w OST D-M-00.00.00 „Wymagania ogólne” pkt 1.5. </w:t>
      </w:r>
    </w:p>
    <w:p w:rsidR="006760D9" w:rsidRPr="006760D9" w:rsidRDefault="006760D9" w:rsidP="006760D9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8" w:name="_Toc420816681"/>
      <w:r w:rsidRPr="006760D9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2. materiały</w:t>
      </w:r>
      <w:bookmarkEnd w:id="8"/>
    </w:p>
    <w:p w:rsidR="006760D9" w:rsidRPr="006760D9" w:rsidRDefault="006760D9" w:rsidP="006760D9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2.1. Ogólne wymagania dotyczące materiałów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wymagania dotyczące materiałów, ich pozyskiwania i składowania podano w OST D-M-00.00.00 „Wymagania ogólne” pkt 2.</w:t>
      </w:r>
    </w:p>
    <w:p w:rsidR="006760D9" w:rsidRPr="006760D9" w:rsidRDefault="006760D9" w:rsidP="006760D9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2.2. Dokument dopuszczający do stosowania materiałów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Materiały stosowane przez Wykonawcę do poziomego oznakowania dróg powinny spełniać warunki postawione w rozporządzeniu Ministra Infrastruktury [7]. 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Producenci powinni oznakować wyroby znakiem budowlanym B, zgodnie z rozporządzeniem Ministra Infrastruktury [8], co oznacza wystawienie deklaracji zgodności z aprobatą techniczną (np. dla farb oraz mas chemoutwardzalnych i termoplastycznych) lub  znakiem CE, zgodnie z rozporządzeniem Ministra Infrastruktury [12], co oznacza wystawienie deklaracji zgodności z normą zharmonizowaną (np. dla kulek szklanych [3, 3a] i punktowych elementów odblaskowych [5, 5a].</w:t>
      </w:r>
    </w:p>
    <w:p w:rsidR="006760D9" w:rsidRPr="006760D9" w:rsidRDefault="006760D9" w:rsidP="006760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Aprobaty techniczne wystawione przed czasem wejścia w życie rozporządzenia [15]  nie mogą być zmieniane lecz zachowują ważność przez okres, na jaki zostały wydane. W tym przypadku do oznakowania wyrobu znakiem budowlanym B wystarcza deklaracja zgodności z aprobatą techniczną.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Powyższe zasady należy stosować także do oznakowań tymczasowych wykonywanych materiałami o barwie żółtej.</w:t>
      </w:r>
    </w:p>
    <w:p w:rsidR="006760D9" w:rsidRPr="006760D9" w:rsidRDefault="006760D9" w:rsidP="006760D9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2.3. Badanie materiałów, których jakość budzi wątpliwość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Wykonawca powinien przeprowadzić dodatkowe badania tych materiałów, które budzą wątpliwości jego lub Inżyniera, co do jakości, w celu stwierdzenia czy odpowiadają one wymaganiom określonym w aprobacie technicznej. Badania te Wykonawca zleci 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IBDiM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lub akredytowanemu laboratorium drogowemu. Badania powinny być wykonane zgodnie z PN-EN 1871:2003 [6] lub Warunkami Technicznymi POD-97 [9] lub POD-2006 po ich wydaniu [10].</w:t>
      </w:r>
    </w:p>
    <w:p w:rsidR="006760D9" w:rsidRPr="006760D9" w:rsidRDefault="006760D9" w:rsidP="006760D9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2.4. Oznakowanie opakowań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Wykonawca powinien żądać od producenta, aby oznakowanie opakowań materiałów do poziomego znakowania dróg było wykonane zgodnie z PN-O-79252 [2], a ponadto aby na każdym opakowaniu był umieszczony trwały napis zawierający: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nazwę i adres producenta,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datę produkcji i termin przydatności do użycia,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masę netto,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numer partii i datę produkcji,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informację, że wyrób posiada aprobatę techniczną 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IBDiM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 jej numer,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nazwę jednostki certyfikującej i numer certyfikatu, jeśli dotyczy [8], 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znak budowlany „B” wg rozporządzenia Ministra Infrastruktury [8] i/lub znak „CE” wg rozporządzenia Ministra Infrastruktury [12],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informację o szkodliwości i klasie zagrożenia pożarowego,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ewentualne wskazówki dla użytkowników.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W przypadku farb rozpuszczalnikowych i wyrobów chemoutwardzalnych oznakowanie opakowania powinno być zgodne z rozporządzeniem Ministra Zdrowia [13].</w:t>
      </w:r>
    </w:p>
    <w:p w:rsidR="006760D9" w:rsidRPr="006760D9" w:rsidRDefault="006760D9" w:rsidP="006760D9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>2.5. Przepisy określające wymagania dla materiałów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Podstawowe wymagania dotyczące materiałów podano w punkcie 2.6, a szczegółowe wymagania określone są w Warunkach technicznych POD-97 [9] lub POD-2006 po ich wydaniu [10].</w:t>
      </w:r>
    </w:p>
    <w:p w:rsidR="006760D9" w:rsidRPr="006760D9" w:rsidRDefault="006760D9" w:rsidP="006760D9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2.6. Wymagania wobec materiałów do poziomego oznakowania dróg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2.6.1. 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Materiały do oznakowań cienkowarstwowych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Materiałami do wykonywania oznakowania cienkowarstwowego powinny być farby nakładane warstwą grubości od </w:t>
      </w:r>
      <w:smartTag w:uri="urn:schemas-microsoft-com:office:smarttags" w:element="metricconverter">
        <w:smartTagPr>
          <w:attr w:name="ProductID" w:val="0,4 mm"/>
        </w:smartTagPr>
        <w:r w:rsidRPr="006760D9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0,4 mm</w:t>
        </w:r>
      </w:smartTag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 </w:t>
      </w:r>
      <w:smartTag w:uri="urn:schemas-microsoft-com:office:smarttags" w:element="metricconverter">
        <w:smartTagPr>
          <w:attr w:name="ProductID" w:val="0,8 mm"/>
        </w:smartTagPr>
        <w:r w:rsidRPr="006760D9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0,8 mm</w:t>
        </w:r>
      </w:smartTag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(na mokro). Powinny to być ciekłe produkty zawierające ciała stałe zdyspergowane w roztworze żywicy syntetycznej w rozpuszczalniku organicznym lub w wodzie, które mogą występować w układach jedno- lub wieloskładnikowych.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 Podczas nakładania farb, do znakowania cienkowarstwowego, na nawierzchnię pędzlem, wałkiem lub przez natrysk, powinny one tworzyć warstwę kohezyjną w procesie odparowania i/lub w procesie chemicznym.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Właściwości fizyczne poszczególnych materiałów do poziomego oznakowania cienkowarstwowego określają aprobaty techniczne. 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2.6.2. 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Materiały do oznakowań grubowarstwowych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Materiałami do wykonywania oznakowania grubowarstwowego powinny być materiały umożliwiające nakładanie ich warstwą grubości od </w:t>
      </w:r>
      <w:smartTag w:uri="urn:schemas-microsoft-com:office:smarttags" w:element="metricconverter">
        <w:smartTagPr>
          <w:attr w:name="ProductID" w:val="0,9 mm"/>
        </w:smartTagPr>
        <w:r w:rsidRPr="006760D9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0,9 mm</w:t>
        </w:r>
      </w:smartTag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 </w:t>
      </w:r>
      <w:smartTag w:uri="urn:schemas-microsoft-com:office:smarttags" w:element="metricconverter">
        <w:smartTagPr>
          <w:attr w:name="ProductID" w:val="5 mm"/>
        </w:smartTagPr>
        <w:r w:rsidRPr="006760D9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5 mm</w:t>
        </w:r>
      </w:smartTag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takie, jak masy chemoutwardzalne stosowane na zimno oraz masy termoplastyczne.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Masy chemoutwardzalne powinny być substancjami jedno-, dwu- lub trójskładnikowymi, mieszanymi ze sobą w proporcjach ustalonych przez producenta i nakładanymi na nawierzchnię z użyciem odpowiedniego sprzętu. Masy te powinny tworzyć powłokę, której spójność zapewnia jedynie reakcja chemiczna.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Masy termoplastyczne powinny być substancjami nie zawierającymi rozpuszczalników, dostarczanymi w postaci bloków, granulek lub proszku. Przy stosowaniu powinny dać się podgrzewać do stopienia i aplikować ręcznie lub maszynowo. Masy te powinny tworzyć spójną warstwę przez ochłodzenie.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Właściwości fizyczne materiałów do oznakowania grubowarstwowego i wykonanych z nich elementów prefabrykowanych określają aprobaty techniczne.</w:t>
      </w:r>
    </w:p>
    <w:p w:rsidR="006760D9" w:rsidRPr="006760D9" w:rsidRDefault="006760D9" w:rsidP="006760D9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2.6.3. 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Zawartość składników lotnych w materiałach do znakowania cienkowarstwowego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Zawartość składników lotnych (rozpuszczalników organicznych) nie powinna przekraczać 25% (m/m) w postaci gotowej do aplikacji, w materiałach do znakowania cienkowarstwowego. 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Nie dopuszcza się stosowania materiałów zawierających rozpuszczalnik aromatyczny (jak np. toluen, ksylen, etylobenzen) w ilości większej niż 8 % (m/m). Nie dopuszcza się stosowania materiałów zawierających benzen i rozpuszczalniki chlorowane.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Do końca 2007 r. dopuszcza się stosowanie farb rozpuszczalnikowych o zawartości składników lotnych do 30 % (m/m) i rozpuszczalników aromatycznych do 10 % (m/m). 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2.6.4. 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Kulki szklane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Materiały w postaci kulek szklanych refleksyjnych do posypywania lub narzucania pod ciśnieniem na materiały do oznakowania powinny zapewniać widzialność w nocy poprzez odbicie powrotne w kierunku pojazdu wiązki światła wysyłanej przez reflektory pojazdu.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Kulki szklane powinny charakteryzować się współczynnikiem załamania powyżej 1,50, wykazywać odporność na wodę, kwas solny, chlorek wapniowy i siarczek sodowy oraz zawierać nie więcej niż 20% kulek z defektami w przypadku kulek o maksymalnej średnicy poniżej </w:t>
      </w:r>
      <w:smartTag w:uri="urn:schemas-microsoft-com:office:smarttags" w:element="metricconverter">
        <w:smartTagPr>
          <w:attr w:name="ProductID" w:val="1 mm"/>
        </w:smartTagPr>
        <w:r w:rsidRPr="006760D9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 mm</w:t>
        </w:r>
      </w:smartTag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30 % w przypadku kulek o maksymalnej średnicy równej i większej niż </w:t>
      </w:r>
      <w:smartTag w:uri="urn:schemas-microsoft-com:office:smarttags" w:element="metricconverter">
        <w:smartTagPr>
          <w:attr w:name="ProductID" w:val="1 mm"/>
        </w:smartTagPr>
        <w:r w:rsidRPr="006760D9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 mm</w:t>
        </w:r>
      </w:smartTag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. Krzywa uziarnienia powinna mieścić się w krzywych granicznych podanych w wymaganiach aprobaty technicznej wyrobu lub w certyfikacie CE.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Kulki szklane 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hydrofobizowane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powinny ponadto wykazywać stopień 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hydrofobizacji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co najmniej 80%. 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Wymagania i metody badań kulek szklanych podano w PN-EN 1423:2000[3, 3a].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Właściwości kulek szklanych określają odpowiednie aprobaty techniczne, lub certyfikaty „CE”.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2.6.5. 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Materiał 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uszorstniający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oznakowanie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Materiał 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uszorstniający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oznakowanie powinien składać się z naturalnego lub sztucznego twardego kruszywa (np. krystobalitu), stosowanego w celu zapewnienia oznakowaniu odpowiedniej szorstkości (właściwości antypoślizgowych). Materiał 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uszorstniający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nie może zawierać więcej niż 1% cząstek mniejszych niż 90 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6D"/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m. Potrzeba stosowania materiału 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uszorstniającego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powinna być określona w SST. Konieczność jego użycia zachodzi w przypadku potrzeby uzyskania wskaźnika szorstkości oznakowania  SRT 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3"/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50.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Materiał 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uszorstniający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(kruszywo przeciwpoślizgowe) oraz mieszanina kulek szklanych z materiałem 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uszorstniającym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powinny odpowiadać wymaganiom określonym w aprobacie technicznej. 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 xml:space="preserve">2.6.6. 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Punktowe elementy odblaskowe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Punktowym elementem odblaskowym powinna być naklejana, kotwiczona lub wbudowana w nawierzchnię płytka z materiału wytrzymującego przejazdy pojazdów samochodowych, zawierająca element odblaskowy umieszczony w ten sposób, aby zapewniał widzialność w nocy, a także w czasie opadów deszczu wg PN-EN 1463-1:2000 [5, 5a].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Odbłyśnik, będący częścią punktowego elementu odblaskowego może być: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szklany lub plastikowy w całości lub z dodatkową warstwą odbijającą znajdującą się na powierzchni nie wystawionej na zewnątrz i nie narażoną na przejeżdżanie pojazdów,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plastikowy z warstwą zabezpieczającą przed ścieraniem, który może mieć warstwę odbijającą tylko w miejscu nie wystawionym na ruch i w którym powierzchnie wystawione na ruch są zabezpieczone warstwami odpornymi na ścieranie.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Profil punktowego elementu odblaskowego nie powinien mieć żadnych ostrych krawędzi od strony najeżdżanej przez pojazdy. Jeśli punktowy element odblaskowy jest wykonany z dwu lub więcej części, każda z nich powinna być usuwalna tylko za pomocą narzędzi polecanych przez producenta. Wysokość punktowego elementu nie może być większa od </w:t>
      </w:r>
      <w:smartTag w:uri="urn:schemas-microsoft-com:office:smarttags" w:element="metricconverter">
        <w:smartTagPr>
          <w:attr w:name="ProductID" w:val="25 mm"/>
        </w:smartTagPr>
        <w:r w:rsidRPr="006760D9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25 mm</w:t>
        </w:r>
      </w:smartTag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. Barwa, w przypadku oznakowania trwałego, powinna być biała lub czerwona, a dla oznakowania czasowego – żółta zgodnie z załącznikiem nr 2 do rozporządzenia Ministra Infrastruktury [7].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Spośród punktowych elementów odblaskowych (PEO) stosowanych do oznakowań poziomych wyróżniają się PEO ze szklanym korpusem pełnym (odbłyśnik wielokierunkowy) lub zawierającym świecące diody LED i ewentualnie ogniwo słoneczne z baterią, tzw. aktywne PEO. Nie mieszczą się one w klasyfikacji PN-EN 1463-1:2001 [5], choć spełniają tę samą funkcję co typowe punktowe elementy odblaskowe, tj. kierunkują pojazdy w nocy w czasie suchej i mokrej pogody.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PEO szklane z pełnym korpusem mogą być stosowane do oznakowania rond kompaktowych ze względu na ich geometrię 360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Właściwości i wymagania dotyczące punktowych elementów odblaskowych określone są w normie zharmonizowanej [5a] i odpowiednich  aprobatach technicznych.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2.6.7. 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Wymagania wobec materiałów ze względu na ochronę warunków pracy i środowiska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Materiały stosowane do znakowania nawierzchni nie powinny zawierać substancji zagrażających zdrowiu ludzi i powodujących skażenie środowiska.</w:t>
      </w:r>
    </w:p>
    <w:p w:rsidR="006760D9" w:rsidRPr="006760D9" w:rsidRDefault="006760D9" w:rsidP="006760D9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2.7. Przechowywanie i składowanie materiałów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Materiały do oznakowania cienko- i grubowarstwowego nawierzchni powinny zachować stałość swoich właściwości chemicznych i fizykochemicznych przez okres co najmniej 6 miesięcy składowania w warunkach określonych przez producenta.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Materiały do poziomego oznakowania dróg należy przechowywać w magazynach odpowiadających zaleceniom producenta, zwłaszcza zabezpieczających je od napromieniowania słonecznego, opadów i w temperaturze, dla:</w:t>
      </w:r>
    </w:p>
    <w:p w:rsidR="006760D9" w:rsidRPr="006760D9" w:rsidRDefault="006760D9" w:rsidP="006760D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farb wodorozcieńczalnych od 5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C do 40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C,</w:t>
      </w:r>
    </w:p>
    <w:p w:rsidR="006760D9" w:rsidRPr="006760D9" w:rsidRDefault="006760D9" w:rsidP="006760D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farb rozpuszczalnikowych od -5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C do 25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C,</w:t>
      </w:r>
    </w:p>
    <w:p w:rsidR="006760D9" w:rsidRPr="006760D9" w:rsidRDefault="006760D9" w:rsidP="006760D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pozostałych materiałów - poniżej 40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C.</w:t>
      </w:r>
    </w:p>
    <w:p w:rsidR="006760D9" w:rsidRPr="006760D9" w:rsidRDefault="006760D9" w:rsidP="006760D9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9" w:name="_Toc420816682"/>
      <w:r w:rsidRPr="006760D9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3. sprzęt</w:t>
      </w:r>
      <w:bookmarkEnd w:id="9"/>
    </w:p>
    <w:p w:rsidR="006760D9" w:rsidRPr="006760D9" w:rsidRDefault="006760D9" w:rsidP="006760D9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3.1. Ogólne wymagania dotyczące sprzętu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wymagania dotyczące sprzętu podano w OST D-M-00.00.00 „Wymagania ogólne” pkt 3.</w:t>
      </w:r>
    </w:p>
    <w:p w:rsidR="006760D9" w:rsidRPr="006760D9" w:rsidRDefault="006760D9" w:rsidP="006760D9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3.2. Sprzęt do wykonania oznakowania poziomego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Wykonawca przystępujący do wykonania oznakowania poziomego, w zależności od zakresu robót, powinien wykazać się możliwością korzystania z następującego sprzętu, zaakceptowanego przez Inżyniera: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szczotek mechanicznych (zaleca się stosowanie szczotek wyposażonych w urządzenia odpylające) oraz szczotek ręcznych,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frezarek,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sprężarek,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malowarek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układarek mas termoplastycznych i chemoutwardzalnych,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wyklejarek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 taśm,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sprzętu do badań, określonego w SST.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Wykonawca powinien zapewnić odpowiednią jakość, ilość i wydajność 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malowarek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lub układarek proporcjonalną do wielkości i czasu wykonania całego zakresu robót.</w:t>
      </w:r>
    </w:p>
    <w:p w:rsidR="006760D9" w:rsidRPr="006760D9" w:rsidRDefault="006760D9" w:rsidP="006760D9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0" w:name="_Toc420816683"/>
      <w:r w:rsidRPr="006760D9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lastRenderedPageBreak/>
        <w:t>4. transport</w:t>
      </w:r>
      <w:bookmarkEnd w:id="10"/>
    </w:p>
    <w:p w:rsidR="006760D9" w:rsidRPr="006760D9" w:rsidRDefault="006760D9" w:rsidP="006760D9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4.1. Ogólne wymagania dotyczące transportu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wymagania dotyczące transportu podano w OST D-M-00.00.00 „Wymagania ogólne” pkt 4.</w:t>
      </w:r>
    </w:p>
    <w:p w:rsidR="006760D9" w:rsidRPr="006760D9" w:rsidRDefault="006760D9" w:rsidP="006760D9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4.2. Przewóz materiałów do poziomego znakowania dróg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Materiały do poziomego znakowania dróg należy przewozić w opakowaniach zapewniających szczelność, bezpieczny transport i zachowanie wymaganych właściwości materiałów. Pojemniki powinny być oznakowane zgodnie z normą PN-O-79252 [2]. W przypadku  materiałów niebezpiecznych opakowania powinny być oznakowane zgodnie z rozporządzeniem Ministra Zdrowia [13].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Farby rozpuszczalnikowe, rozpuszczalniki palne oraz farby i masy chemoutwardzalne należy transportować zgodnie z postanowieniami umowy międzynarodowej [14] dla transportu drogowego materiałów palnych, klasy 3, oraz szczegółowymi zaleceniami zawartymi w karcie charakterystyki wyrobu sporządzonej przez producenta. Wyroby, wyżej wymienione, nie posiadające karty charakterystyki nie powinny być dopuszczone do transportu.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Pozostałe materiały do znakowania poziomego należy przewozić krytymi środkami transportowymi, chroniąc opakowania przed uszkodzeniem mechanicznym, zgodnie z PN-C-81400 [1] oraz zgodnie z prawem przewozowym.</w:t>
      </w:r>
    </w:p>
    <w:p w:rsidR="006760D9" w:rsidRPr="006760D9" w:rsidRDefault="006760D9" w:rsidP="006760D9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1" w:name="_Toc420816684"/>
      <w:r w:rsidRPr="006760D9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5. wykonanie robót</w:t>
      </w:r>
      <w:bookmarkEnd w:id="11"/>
    </w:p>
    <w:p w:rsidR="006760D9" w:rsidRPr="006760D9" w:rsidRDefault="006760D9" w:rsidP="006760D9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5.1. Ogólne zasady wykonania robót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Ogólne zasady wykonania robót podano w OST D-M-00.00.00 „Wymagania ogólne” pkt 5. Nowe i odnowione nawierzchnie dróg przed otwarciem do ruchu muszą być oznakowane zgodnie z dokumentacją projektową. </w:t>
      </w:r>
    </w:p>
    <w:p w:rsidR="006760D9" w:rsidRPr="006760D9" w:rsidRDefault="006760D9" w:rsidP="006760D9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5.2. Warunki atmosferyczne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 czasie wykonywania oznakowania temperatura nawierzchni i powietrza powinna wynosić co najmniej 5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C, a wilgotność względna powietrza powinna być zgodna z zaleceniami producenta lub wynosić co najwyżej 85%.</w:t>
      </w:r>
    </w:p>
    <w:p w:rsidR="006760D9" w:rsidRPr="006760D9" w:rsidRDefault="006760D9" w:rsidP="006760D9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5.3. Jednorodność nawierzchni znakowanej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Poprawność wykonania znakowania wymaga jednorodności nawierzchni znakowanej. Nierówności i/lub miejsca napraw cząstkowych nawierzchni, które nie wyróżniają się od starej nawierzchni i nie mają większego rozmiaru niż 15% powierzchni znakowanej, uznaje się za powierzchnie jednorodne. Dla powierzchni niejednorodnych należy w SST ustalić: rozmiary powierzchni niejednorodnej zgodnie z Systemem Oceny Stanu Nawierzchni (SOSN), odkształcenia nawierzchni (otwarte złącza podłużne, koleiny, spękania, przełomy, garby), wymagania wobec materiału do oznakowania nawierzchni i wymagania wobec Wykonawcy.</w:t>
      </w:r>
    </w:p>
    <w:p w:rsidR="006760D9" w:rsidRPr="006760D9" w:rsidRDefault="006760D9" w:rsidP="006760D9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5.4. Przygotowanie podłoża do wykonania znakowania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Przed wykonaniem znakowania poziomego należy oczyścić powierzchnię nawierzchni malowanej z pyłu, kurzu, piasku, smarów, olejów i innych zanieczyszczeń, przy użyciu sprzętu wymienionego w SST i zaakceptowanego przez Inżyniera.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Powierzchnia nawierzchni przygotowana do wykonania oznakowania poziomego musi być czysta i sucha.</w:t>
      </w:r>
    </w:p>
    <w:p w:rsidR="006760D9" w:rsidRPr="006760D9" w:rsidRDefault="006760D9" w:rsidP="006760D9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5.5. </w:t>
      </w:r>
      <w:proofErr w:type="spellStart"/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Przedznakowanie</w:t>
      </w:r>
      <w:proofErr w:type="spellEnd"/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W celu dokładnego wykonania poziomego oznakowania drogi, można wykonać 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przedznakowanie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stosując się do ustaleń zawartych w dokumentacji projektowej, w </w:t>
      </w:r>
      <w:r w:rsidRPr="006760D9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pl-PL"/>
        </w:rPr>
        <w:t>załączniku nr 2 do rozporządzenia Ministra Infrastruktury [7], SST i wskazaniach Inżyniera.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Do wykonania 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przedznakowania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można stosować nietrwałą farbę, np. farbę silnie rozcieńczoną rozpuszczalnikiem. Zaleca się wykonywanie 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przedznakowania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 postaci cienkich linii lub kropek. Początek i koniec znakowania należy zaznaczyć małą kreską poprzeczną.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W przypadku odnawiania oznakowania drogi, gdy stare oznakowanie jest wystarczająco czytelne i zgodne z dokumentacją projektową, można 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przedznakowania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nie wykonywać.</w:t>
      </w:r>
    </w:p>
    <w:p w:rsidR="006760D9" w:rsidRPr="006760D9" w:rsidRDefault="006760D9" w:rsidP="006760D9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5.6. Wykonanie oznakowania drogi</w:t>
      </w:r>
    </w:p>
    <w:p w:rsidR="006760D9" w:rsidRPr="006760D9" w:rsidRDefault="006760D9" w:rsidP="006760D9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5.6.1.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Dostarczenie materiałów i spełnienie zaleceń producenta materiałów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Materiały do znakowania drogi, spełniające wymagania podane w punkcie 2, powinny być dostarczone w oryginalnych opakowaniach handlowych i stosowane zgodnie z zaleceniami SST, producenta oraz wymaganiami znajdującymi się w aprobacie technicznej.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5.6.2. 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Wykonanie oznakowania drogi materiałami cienkowarstwowymi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Wykonanie znakowania powinno być zgodne z zaleceniami producenta materiałów, a w przypadku ich braku lub niepełnych danych - zgodne z poniższymi wskazaniami.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ab/>
        <w:t xml:space="preserve">Farbę do znakowania cienkowarstwowego po otwarciu opakowania należy wymieszać w czasie od 2 do 4 minut do uzyskania pełnej jednorodności. Przed lub w czasie napełniania zbiornika 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malowarki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zaleca się przecedzić farbę przez sito </w:t>
      </w:r>
      <w:smartTag w:uri="urn:schemas-microsoft-com:office:smarttags" w:element="metricconverter">
        <w:smartTagPr>
          <w:attr w:name="ProductID" w:val="0,6 mm"/>
        </w:smartTagPr>
        <w:r w:rsidRPr="006760D9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0,6 mm</w:t>
        </w:r>
      </w:smartTag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. Nie wolno stosować do malowania mechanicznego farby, w której osad na dnie opakowania nie daje się całkowicie wymieszać lub na jej powierzchni znajduje się kożuch.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Farbę należy nakładać równomierną warstwą o grubości ustalonej w SST, zachowując wymiary i ostrość krawędzi. Grubość nanoszonej warstwy zaleca się kontrolować przy pomocy grzebienia pomiarowego na płytce szklanej lub metalowej podkładanej na drodze 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malowarki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. Ilość farby zużyta w czasie prac, określona przez średnie zużycie na metr kwadratowy nie może się różnić od ilości ustalonej, więcej niż o 20%.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Wszystkie większe prace powinny być wykonane przy użyciu samojezdnych 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malowarek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 automatycznym podziałem linii i posypywaniem kulkami szklanymi z ew. materiałem 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uszorstniającym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. W przypadku mniejszych prac, wielkość, wydajność i jakość sprzętu należy dostosować do zakresu i rozmiaru prac. Decyzję dotyczącą rodzaju sprzętu i sposobu wykonania znakowania podejmuje Inżynier na wniosek Wykonawcy.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5.6.3. 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Wykonanie oznakowania drogi materiałami grubowarstwowymi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Wykonanie oznakowania powinno być zgodne z zaleceniami producenta materiałów, a w przypadku ich braku lub niepełnych danych - zgodne z poniższymi wskazaniami.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Materiał znakujący należy nakładać równomierną warstwą o grubości (lub w ilości) ustalonej w SST, zachowując wymiary i ostrość krawędzi. Grubość nanoszonej warstwy zaleca się kontrolować przy pomocy grzebienia pomiarowego na płytce metalowej, podkładanej na drodze 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malowarki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. Ilość materiału zużyta w czasie prac, określona przez średnie zużycie na metr kwadratowy, nie może się różnić od ilości ustalonej, więcej niż o 20%.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trike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W przypadku mas chemoutwardzalnych i termoplastycznych wszystkie większe prace (linie krawędziowe, segregacyjne na długich odcinkach dróg) powinny być wykonywane przy użyciu urządzeń samojezdnych z automatycznym podziałem linii i posypywaniem kulkami szklanymi z ew. materiałem 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uszorstniającym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W przypadku mniejszych prac, wielkość, wydajność i jakość sprzętu należy dostosować do ich zakresu i rozmiaru. Decyzję dotyczącą rodzaju sprzętu i sposobu wykonania znakowania podejmuje Inżynier na wniosek Wykonawcy. W przypadku znakowania nawierzchni betonowej należy przed aplikacją usunąć warstwę powierzchniową betonu metodą frezowania, śrutowania lub 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waterblasting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aby zlikwidować pozostałości mleczka cementowego i 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uszorstnić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powierzchnię. Po usunięciu warstwy powierzchniowej betonu, należy powierzchnię znakowaną umyć wodą pod ciśnieniem oraz zagruntować środkiem wskazanym przez producenta masy (podkład, grunt, 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primer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) w ilości przez niego podanej.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5.6.4. 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Wykonanie oznakowania drogi punktowymi elementami odblaskowymi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Wykonanie oznakowania powinno być zgodne z zaleceniami producenta materiałów, a w przypadku ich braku lub niepełnych danych - zgodne z poniższymi wskazaniami.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Przy wykonywaniu oznakowania punktowymi elementami odblaskowymi należy zwracać szczególną uwagę na staranne mocowanie elementów do podłoża, od czego zależy trwałość wykonanego oznakowania.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Nie wolno zmieniać ustalonego przez producenta rodzaju kleju z uwagi na możliwość uzyskania różnej jego przyczepności do nawierzchni i do materiałów, z których wykonano punktowe elementy odblaskowe.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 przypadku znakowania nawierzchni betonowych należy zastosować podkład (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primer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) poprawiający przyczepność przyklejanych punktowych elementów odblaskowych do nawierzchni.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5.6.5.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Wykonanie oznakowania tymczasowego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lang w:eastAsia="pl-PL"/>
        </w:rPr>
        <w:t xml:space="preserve">Do wykonywania oznakowania tymczasowego barwy żółtej należy stosować materiały łatwe do usunięcia po zakończeniu okresu tymczasowości. Linie wyznaczające pasy ruchu zaleca się uzupełnić punktowymi elementami odblaskowymi z odbłyśnikami także barwy żółtej. 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lang w:eastAsia="pl-PL"/>
        </w:rPr>
        <w:t>Czasowe oznakowanie poziome powinno być wykonane z materiałów odblaskowych. Do jego wykonania należy stosować: farby, taśmy samoprzylepne lub punktowe elementy odblaskowe. Stosowanie farb dopuszcza się wyłącznie w takich przypadkach, gdy w wyniku przewidywanych robót nawierzchniowych oznakowanie to po ich zakończeniu będzie całkowicie niewidoczne, np. zostanie przykryte nową warstwą ścieralną nawierzchni.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lang w:eastAsia="pl-PL"/>
        </w:rPr>
        <w:t xml:space="preserve">Materiały stosowane do 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wykonywania oznakowania tymczasowego powinny także posiadać aprobaty techniczne, a producent powinien wystawiać deklarację zgodności.</w:t>
      </w:r>
    </w:p>
    <w:p w:rsidR="006760D9" w:rsidRPr="006760D9" w:rsidRDefault="006760D9" w:rsidP="006760D9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5.7. Usuwanie oznakowania poziomego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 przypadku konieczności usunięcia istniejącego oznakowania poziomego, czynność tę należy wykonać jak najmniej uszkadzając nawierzchnię.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Zaleca się wykonywać usuwanie oznakowania: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cienkowarstwowego, metodą: frezowania mechanicznego lub wodą pod wysokim ciśnieniem (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waterblasting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), piaskowania, śrutowania, trawienia, wypalania lub zamalowania,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grubowarstwowego, metodą piaskowania, kulkowania, frezowania,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punktowego, prostymi narzędziami mechanicznymi.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ab/>
        <w:t>Środki zastosowane do usunięcia oznakowania nie mogą wpływać ujemnie na przyczepność nowego oznakowania do podłoża, na jego szorstkość, trwałość oraz na właściwości podłoża.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Usuwanie oznakowania na czas robót drogowych może być wykonane przez zamalowanie nietrwałą farbą barwy czarnej.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Materiały pozostałe po usunięciu oznakowania należy usunąć z drogi tak, aby nie zanieczyszczały środowiska, w miejsce zaakceptowane przez Inżyniera.</w:t>
      </w:r>
    </w:p>
    <w:p w:rsidR="006760D9" w:rsidRPr="006760D9" w:rsidRDefault="006760D9" w:rsidP="006760D9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5.8. Odnowa oznakowania poziomego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Odnawianie oznakowania poziomego, wykonywanego w przypadku utraty wymagań jednej z właściwości, należy wykonać materiałem o sprawdzonej dobrej przyczepności do starej warstwy.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Jako zasadę można przyjąć, że oznakowanie wykonane farbami akrylowymi, należy odnawiać także farbami akrylowymi, oznakowania grubowarstwowe wykonane masami termoplastycznymi – natryskiwanym cienką warstwą masy termoplastycznej lub farbą wodorozcieńczalną zalecaną przez producenta masy, oznakowania wykonane masami chemoutwardzalnymi – farbami chemoutwardzalnymi, natryskiwanymi masami chemoutwardzalnymi (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sprayplast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) lub odpowiednimi akrylowymi farbami rozpuszczalnikowymi.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Ilość stosowanego do odnowienia materiału, należy dobrać w zależności od rodzaju i stanu oznakowania odnawianego, kierując się wskazówkami producenta materiału i zaleceniami Inżyniera.</w:t>
      </w:r>
    </w:p>
    <w:p w:rsidR="006760D9" w:rsidRPr="006760D9" w:rsidRDefault="006760D9" w:rsidP="006760D9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2" w:name="_Toc420816685"/>
      <w:r w:rsidRPr="006760D9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6. kontrola jakości robót</w:t>
      </w:r>
      <w:bookmarkEnd w:id="12"/>
    </w:p>
    <w:p w:rsidR="006760D9" w:rsidRPr="006760D9" w:rsidRDefault="006760D9" w:rsidP="006760D9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6.1. Ogólne zasady kontroli jakości robót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kontroli jakości robót podano w OST D-M-00.00.00 „Wymagania ogólne” pkt 6.</w:t>
      </w:r>
    </w:p>
    <w:p w:rsidR="006760D9" w:rsidRPr="006760D9" w:rsidRDefault="006760D9" w:rsidP="006760D9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 Badanie przygotowania podłoża i </w:t>
      </w:r>
      <w:proofErr w:type="spellStart"/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przedznakowania</w:t>
      </w:r>
      <w:proofErr w:type="spellEnd"/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Powierzchnia jezdni przed wykonaniem znakowania poziomego musi być całkowicie czysta i sucha.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Przedznakowanie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powinno być wykonane zgodnie z wymaganiami punktu 5.5.</w:t>
      </w:r>
    </w:p>
    <w:p w:rsidR="006760D9" w:rsidRPr="006760D9" w:rsidRDefault="006760D9" w:rsidP="006760D9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6.3. Badania wykonania oznakowania poziomego</w:t>
      </w:r>
    </w:p>
    <w:p w:rsidR="006760D9" w:rsidRPr="006760D9" w:rsidRDefault="006760D9" w:rsidP="006760D9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6.3.1. 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Wymagania wobec oznakowania poziomego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6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6.3.1.1. Zasady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3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pacing w:val="-3"/>
          <w:sz w:val="20"/>
          <w:szCs w:val="20"/>
          <w:lang w:eastAsia="pl-PL"/>
        </w:rPr>
        <w:t xml:space="preserve">Wymagania sprecyzowano przede wszystkim w celu określenia właściwości oznakowania dróg w czasie ich użytkowania. Wymagania określa się kilkoma parametrami reprezentującymi różne aspekty właściwości oznakowania dróg według PN-EN 1436:2000 [4] i PN-EN 1436:2000/A1:2005 [4a]. 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3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pacing w:val="-3"/>
          <w:sz w:val="20"/>
          <w:szCs w:val="20"/>
          <w:lang w:eastAsia="pl-PL"/>
        </w:rPr>
        <w:t xml:space="preserve">Badania wstępne, dla których określono pierwsze wymaganie, są wykonywane w celu kontroli przed odbiorem. Powinny być wykonane w terminie od 14 do 30 dnia po wykonaniu. Kolejne badania kontrolne należy wykonywać po okresie, od 3 do 6 miesięcy po wykonaniu i przed upływem 1 roku, oraz po 2, 3 i 4 latach dla materiałów o trwałości dłuższej niż 1 rok. 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3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pacing w:val="-3"/>
          <w:sz w:val="20"/>
          <w:szCs w:val="20"/>
          <w:lang w:eastAsia="pl-PL"/>
        </w:rPr>
        <w:t>Barwa żółta dotyczy tylko oznakowań tymczasowych, które także powinny być kontrolowane. Inne barwy oznakowań niż biała i żółta należy stosować zgodnie z zaleceniami zawartymi w załączniku nr 2 do rozporządzenia [7].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6.3.1.2. Widzialność w dzień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Widzialność oznakowania w dzień jest określona współczynnikiem luminancji 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62"/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 barwą oznakowania wyrażoną współrzędnymi chromatyczności.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Wartość współczynnika 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62"/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powinna wynosić dla oznakowania nowego </w:t>
      </w:r>
      <w:r w:rsidRPr="006760D9">
        <w:rPr>
          <w:rFonts w:ascii="Times New Roman" w:eastAsia="Times New Roman" w:hAnsi="Times New Roman" w:cs="Times New Roman"/>
          <w:spacing w:val="-3"/>
          <w:sz w:val="20"/>
          <w:szCs w:val="20"/>
          <w:lang w:eastAsia="pl-PL"/>
        </w:rPr>
        <w:t>w terminie od 14 do 30 dnia po wykonaniu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, barwy: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białej, na nawierzchni asfaltowej , co najmniej 0,40, klasa B3,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białej, na nawierzchni betonowej, co najmniej 0,50, klasa B4,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żółtej, co najmniej 0,30, klasa B2.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Wartość współczynnika 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62"/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powinna wynosić po 30 dniu od wykonania dla całego okresu użytkowania oznakowania, barwy: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białej, na nawierzchni asfaltowej , co najmniej 0,30, klasa B2,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białej, na nawierzchni betonowej, co najmniej 0,40, klasa B3,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żółtej, co najmniej 0,20 klasa B1. 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Barwa oznakowania powinna być określona wg PN-EN 1436:2000 [4] przez współrzędne chromatyczności x i y, które dla suchego oznakowania powinny leżeć w obszarze zdefiniowanym przez cztery punkty narożne podane w tablicy 1 i na wykresach (rys. 1, 2 i 3).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Tablica 1. Punkty narożne obszarów chromatyczności oznakowań dróg</w:t>
      </w:r>
    </w:p>
    <w:tbl>
      <w:tblPr>
        <w:tblW w:w="7468" w:type="dxa"/>
        <w:jc w:val="center"/>
        <w:tblInd w:w="1463" w:type="dxa"/>
        <w:tblLayout w:type="fixed"/>
        <w:tblCellMar>
          <w:left w:w="157" w:type="dxa"/>
          <w:right w:w="157" w:type="dxa"/>
        </w:tblCellMar>
        <w:tblLook w:val="0000" w:firstRow="0" w:lastRow="0" w:firstColumn="0" w:lastColumn="0" w:noHBand="0" w:noVBand="0"/>
      </w:tblPr>
      <w:tblGrid>
        <w:gridCol w:w="2601"/>
        <w:gridCol w:w="425"/>
        <w:gridCol w:w="1110"/>
        <w:gridCol w:w="1111"/>
        <w:gridCol w:w="1110"/>
        <w:gridCol w:w="1111"/>
      </w:tblGrid>
      <w:tr w:rsidR="006760D9" w:rsidRPr="006760D9" w:rsidTr="003E7BCD">
        <w:trPr>
          <w:trHeight w:val="398"/>
          <w:jc w:val="center"/>
        </w:trPr>
        <w:tc>
          <w:tcPr>
            <w:tcW w:w="3026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bCs/>
                <w:spacing w:val="-3"/>
                <w:sz w:val="20"/>
                <w:szCs w:val="20"/>
                <w:lang w:eastAsia="pl-PL"/>
              </w:rPr>
              <w:t>Punkt narożny nr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bCs/>
                <w:spacing w:val="-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bCs/>
                <w:spacing w:val="-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bCs/>
                <w:spacing w:val="-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bCs/>
                <w:spacing w:val="-3"/>
                <w:sz w:val="20"/>
                <w:szCs w:val="20"/>
                <w:lang w:eastAsia="pl-PL"/>
              </w:rPr>
              <w:t>4</w:t>
            </w:r>
          </w:p>
        </w:tc>
      </w:tr>
      <w:tr w:rsidR="006760D9" w:rsidRPr="006760D9" w:rsidTr="003E7BCD">
        <w:trPr>
          <w:jc w:val="center"/>
        </w:trPr>
        <w:tc>
          <w:tcPr>
            <w:tcW w:w="2601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Oznakowanie białe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110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0,355</w:t>
            </w:r>
          </w:p>
        </w:tc>
        <w:tc>
          <w:tcPr>
            <w:tcW w:w="1111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0,305</w:t>
            </w:r>
          </w:p>
        </w:tc>
        <w:tc>
          <w:tcPr>
            <w:tcW w:w="1110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0,285</w:t>
            </w:r>
          </w:p>
        </w:tc>
        <w:tc>
          <w:tcPr>
            <w:tcW w:w="1111" w:type="dxa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0,335</w:t>
            </w:r>
          </w:p>
        </w:tc>
      </w:tr>
      <w:tr w:rsidR="006760D9" w:rsidRPr="006760D9" w:rsidTr="003E7BCD">
        <w:trPr>
          <w:jc w:val="center"/>
        </w:trPr>
        <w:tc>
          <w:tcPr>
            <w:tcW w:w="260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0,355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0,305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0,325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0,375</w:t>
            </w:r>
          </w:p>
        </w:tc>
      </w:tr>
      <w:tr w:rsidR="006760D9" w:rsidRPr="006760D9" w:rsidTr="003E7BCD">
        <w:trPr>
          <w:jc w:val="center"/>
        </w:trPr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Oznakowanie żółte klasa Y1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0,443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0,545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0,465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0,389</w:t>
            </w:r>
          </w:p>
        </w:tc>
      </w:tr>
      <w:tr w:rsidR="006760D9" w:rsidRPr="006760D9" w:rsidTr="003E7BCD">
        <w:trPr>
          <w:jc w:val="center"/>
        </w:trPr>
        <w:tc>
          <w:tcPr>
            <w:tcW w:w="26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0,399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0,455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0,535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0,431</w:t>
            </w:r>
          </w:p>
        </w:tc>
      </w:tr>
      <w:tr w:rsidR="006760D9" w:rsidRPr="006760D9" w:rsidTr="003E7BCD">
        <w:trPr>
          <w:jc w:val="center"/>
        </w:trPr>
        <w:tc>
          <w:tcPr>
            <w:tcW w:w="2601" w:type="dxa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Oznakowanie żółte klasa Y2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0,494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0,545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0,465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0,427</w:t>
            </w:r>
          </w:p>
        </w:tc>
      </w:tr>
      <w:tr w:rsidR="006760D9" w:rsidRPr="006760D9" w:rsidTr="003E7BCD">
        <w:trPr>
          <w:jc w:val="center"/>
        </w:trPr>
        <w:tc>
          <w:tcPr>
            <w:tcW w:w="2601" w:type="dxa"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0,427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0,455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0,535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0,483</w:t>
            </w:r>
          </w:p>
        </w:tc>
      </w:tr>
      <w:tr w:rsidR="006760D9" w:rsidRPr="006760D9" w:rsidTr="003E7BCD">
        <w:trPr>
          <w:jc w:val="center"/>
        </w:trPr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Oznakowanie czerwone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0,690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0,530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0,495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0,655</w:t>
            </w:r>
          </w:p>
        </w:tc>
      </w:tr>
      <w:tr w:rsidR="006760D9" w:rsidRPr="006760D9" w:rsidTr="003E7BCD">
        <w:trPr>
          <w:jc w:val="center"/>
        </w:trPr>
        <w:tc>
          <w:tcPr>
            <w:tcW w:w="260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0,310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0,300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0,335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0,345</w:t>
            </w:r>
          </w:p>
        </w:tc>
      </w:tr>
      <w:tr w:rsidR="006760D9" w:rsidRPr="006760D9" w:rsidTr="003E7BCD">
        <w:trPr>
          <w:jc w:val="center"/>
        </w:trPr>
        <w:tc>
          <w:tcPr>
            <w:tcW w:w="260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Oznakowanie niebieskie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0,078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0,200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0,240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0,137</w:t>
            </w:r>
          </w:p>
        </w:tc>
      </w:tr>
      <w:tr w:rsidR="006760D9" w:rsidRPr="006760D9" w:rsidTr="003E7BCD">
        <w:trPr>
          <w:jc w:val="center"/>
        </w:trPr>
        <w:tc>
          <w:tcPr>
            <w:tcW w:w="260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0,171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0,255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0,210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0D9" w:rsidRPr="006760D9" w:rsidRDefault="006760D9" w:rsidP="006760D9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0,038</w:t>
            </w:r>
          </w:p>
        </w:tc>
      </w:tr>
    </w:tbl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</w:pP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</w:pP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w:drawing>
          <wp:inline distT="0" distB="0" distL="0" distR="0">
            <wp:extent cx="3192145" cy="2667000"/>
            <wp:effectExtent l="19050" t="0" r="8255" b="0"/>
            <wp:docPr id="4" name="Obraz 1" descr="ry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ys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145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Rys. 1. Współrzędne chromatyczności 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x,y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dla barwy białej oznakowania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w:drawing>
          <wp:inline distT="0" distB="0" distL="0" distR="0">
            <wp:extent cx="3068955" cy="2633345"/>
            <wp:effectExtent l="19050" t="0" r="0" b="0"/>
            <wp:docPr id="5" name="Obraz 2" descr="ry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ys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955" cy="2633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Rys.2. Współrzędne chromatyczności 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x,y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dla barwy żółtej oznakowania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noProof/>
          <w:sz w:val="20"/>
          <w:szCs w:val="20"/>
          <w:lang w:eastAsia="pl-PL"/>
        </w:rPr>
        <w:lastRenderedPageBreak/>
        <w:drawing>
          <wp:inline distT="0" distB="0" distL="0" distR="0">
            <wp:extent cx="3390900" cy="3644900"/>
            <wp:effectExtent l="0" t="0" r="0" b="0"/>
            <wp:docPr id="6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364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60D9" w:rsidRPr="006760D9" w:rsidRDefault="006760D9" w:rsidP="006760D9">
      <w:pPr>
        <w:tabs>
          <w:tab w:val="left" w:pos="-72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pacing w:val="-3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pacing w:val="-3"/>
          <w:sz w:val="20"/>
          <w:szCs w:val="20"/>
          <w:lang w:eastAsia="pl-PL"/>
        </w:rPr>
        <w:t>Rys. 3. Granice barw białej, żółtej, czerwonej, niebieskiej i zielonej oznakowania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Pomiar współczynnika luminancji 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62"/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może być zastąpiony pomiarem współczynnika luminancji w świetle rozproszonym 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Qd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, wg PN-EN 1436:2000 [4] lub wg POD-97 [9] i POD-2006 (po wydaniu) [10].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Do określenia odbicia światła dziennego lub odbicia oświetlenia drogi od oznakowania stosuje się współczynnik luminancji w świetle rozproszonym 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Qd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Wartość współczynnika 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Qd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dla oznakowania nowego w ciągu 14 - 30 dni po wykonaniu powinna wynosić dla oznakowania świeżego, barwy: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białej, co najmniej 130 mcd m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-2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lx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-1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(nawierzchnie asfaltowe), klasa Q3,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białej, co najmniej 160 mcd m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-2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lx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-1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(nawierzchnie betonowe), klasa Q4,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żółtej, co najmniej 100 mcd m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-2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lx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-1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), klasa Q2,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Wartość współczynnika 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Qd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powinna wynosić dla oznakowania eksploatowanego po 30 dniu od wykonania, w ciągu całego okresu użytkowania,  barwy: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białej, co najmniej 100 mcd m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-2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lx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-1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(nawierzchnie asfaltowe), klasa Q2,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białej, co najmniej 130 mcd m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-2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lx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-1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(nawierzchnie betonowe), klasa Q3,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żółtej, co najmniej 80 mcd m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-2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lx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-1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, klasa Q1.</w:t>
      </w:r>
    </w:p>
    <w:p w:rsidR="006760D9" w:rsidRPr="006760D9" w:rsidRDefault="006760D9" w:rsidP="006760D9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6.3.1.3. Widzialność w nocy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Za miarę widzialności w nocy przyjęto powierzchniowy współczynnik odblasku R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bscript"/>
          <w:lang w:eastAsia="pl-PL"/>
        </w:rPr>
        <w:t>L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, określany według PN-EN 1436:2000 [4] z uwzględnieniem podziału na klasy PN-EN 1436:2000/A1:2005 [4a].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Wartość współczynnika R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bscript"/>
          <w:lang w:eastAsia="pl-PL"/>
        </w:rPr>
        <w:t>L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powinna wynosić dla oznakowania nowego (w stanie suchym) w ciągu 14 - 30 dni po wykonaniu, barwy:</w:t>
      </w:r>
    </w:p>
    <w:p w:rsidR="006760D9" w:rsidRPr="006760D9" w:rsidRDefault="006760D9" w:rsidP="006760D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białej, na autostradach, drogach ekspresowych oraz na drogach o prędkości 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3"/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6760D9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100 km/h</w:t>
        </w:r>
      </w:smartTag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lub o natężeniu ruchu &gt; 2 500 pojazdów rzeczywistych na dobę na pas, co najmniej 250 mcd m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-2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lx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-1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, klasa R4/5,</w:t>
      </w:r>
    </w:p>
    <w:p w:rsidR="006760D9" w:rsidRPr="006760D9" w:rsidRDefault="006760D9" w:rsidP="006760D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białej, na pozostałych drogach, co najmniej 200 mcd m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-2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lx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-1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, klasa R4,</w:t>
      </w:r>
    </w:p>
    <w:p w:rsidR="006760D9" w:rsidRPr="006760D9" w:rsidRDefault="006760D9" w:rsidP="006760D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żółtej tymczasowej, co najmniej 150 mcd m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-2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lx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-1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, klasa R3,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Wartość współczynnika R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bscript"/>
          <w:lang w:eastAsia="pl-PL"/>
        </w:rPr>
        <w:t>L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powinna wynosić dla oznakowania eksploatowanego w ciągu od 2 do 6 miesięcy po wykonaniu,  barwy:</w:t>
      </w:r>
    </w:p>
    <w:p w:rsidR="006760D9" w:rsidRPr="006760D9" w:rsidRDefault="006760D9" w:rsidP="006760D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białej, na autostradach, drogach ekspresowych oraz na drogach o prędkości 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3"/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6760D9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100 km/h</w:t>
        </w:r>
      </w:smartTag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lub o natężeniu ruchu &gt; 2 500 pojazdów rzeczywistych na dobę na pas, co najmniej 200 mcd m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-2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lx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-1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, klasa R4,</w:t>
      </w:r>
    </w:p>
    <w:p w:rsidR="006760D9" w:rsidRPr="006760D9" w:rsidRDefault="006760D9" w:rsidP="006760D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białej, na pozostałych drogach, co najmniej 150 mcd m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-2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lx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-1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, klasa R3</w:t>
      </w:r>
    </w:p>
    <w:p w:rsidR="006760D9" w:rsidRPr="006760D9" w:rsidRDefault="006760D9" w:rsidP="006760D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żółtej tymczasowej, co najmniej 100 mcd m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-2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lx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-1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, klasa R2.</w:t>
      </w:r>
    </w:p>
    <w:p w:rsidR="00D027F4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:rsidR="00D027F4" w:rsidRDefault="00D027F4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D027F4" w:rsidRDefault="00D027F4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Wartość współczynnika R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bscript"/>
          <w:lang w:eastAsia="pl-PL"/>
        </w:rPr>
        <w:t>L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powinna wynosić dla oznakowania eksploatowanego od 7 miesiąca po wykonaniu,  barwy:</w:t>
      </w:r>
    </w:p>
    <w:p w:rsidR="006760D9" w:rsidRPr="006760D9" w:rsidRDefault="006760D9" w:rsidP="006760D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białej, na autostradach, drogach ekspresowych oraz na drogach o prędkości 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3"/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6760D9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100 km/h</w:t>
        </w:r>
      </w:smartTag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lub o natężeniu ruchu &gt; 2 500 pojazdów rzeczywistych na dobę na pas, co najmniej 150 mcd m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-2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lx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-1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, klasa R3,</w:t>
      </w:r>
    </w:p>
    <w:p w:rsidR="006760D9" w:rsidRPr="006760D9" w:rsidRDefault="006760D9" w:rsidP="006760D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białej, na pozostałych drogach, co najmniej 100 mcd m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-2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lx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-1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, klasa R2,</w:t>
      </w:r>
    </w:p>
    <w:p w:rsidR="006760D9" w:rsidRPr="006760D9" w:rsidRDefault="006760D9" w:rsidP="006760D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żółtej tymczasowej, co najmniej 100 mcd m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-2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lx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-1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, klasa R2.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Na nawierzchniach o grubej makroteksturze, takich jak: powierzchniowe utrwalanie oraz na nawierzchniach niejednorodnych można wyjątkowo, tylko na drogach określonych w tablicy 5, dopuścić wartość współczynnika odblasku R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bscript"/>
          <w:lang w:eastAsia="pl-PL"/>
        </w:rPr>
        <w:t>L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= 70 mcd m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-2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lx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-1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, klasa R1 dla oznakowania cienkowarstwowego eksploatowanego od 6 miesiąca po wykonaniu.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Na nawierzchniach nowych lub odnowionych z warstwą ścieralną z SMA zaleca się stosować materiały grubowarstwowe.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W szczególnie uzasadnionych przypadkach możliwe jest ustalenie w SST wyższych klas wymagań wg PN-EN 1436:2000/A1:2005 [4a].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Wartość współczynnika R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bscript"/>
          <w:lang w:eastAsia="pl-PL"/>
        </w:rPr>
        <w:t>L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powinna wynosić dla oznakowania profilowanego, nowego (w stanie wilgotnym) i eksploatowanego w okresie gwarancji wg PN-EN 1436:2000 [4] zmierzona od 14 do 30 dni po wykonaniu, barwy:</w:t>
      </w:r>
    </w:p>
    <w:p w:rsidR="006760D9" w:rsidRPr="006760D9" w:rsidRDefault="006760D9" w:rsidP="006760D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białej, co najmniej 50 mcd m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-2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lx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-1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klasa </w:t>
      </w:r>
      <w:r w:rsidRPr="006760D9">
        <w:rPr>
          <w:rFonts w:ascii="Times New Roman" w:eastAsia="Times New Roman" w:hAnsi="Times New Roman" w:cs="Times New Roman"/>
          <w:spacing w:val="-3"/>
          <w:sz w:val="20"/>
          <w:szCs w:val="20"/>
          <w:lang w:eastAsia="pl-PL"/>
        </w:rPr>
        <w:t>RW3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</w:p>
    <w:p w:rsidR="006760D9" w:rsidRPr="006760D9" w:rsidRDefault="006760D9" w:rsidP="006760D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w okresie eksploatacji co najmniej 35 mcd m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-2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lx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-1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klasa </w:t>
      </w:r>
      <w:r w:rsidRPr="006760D9">
        <w:rPr>
          <w:rFonts w:ascii="Times New Roman" w:eastAsia="Times New Roman" w:hAnsi="Times New Roman" w:cs="Times New Roman"/>
          <w:spacing w:val="-3"/>
          <w:sz w:val="20"/>
          <w:szCs w:val="20"/>
          <w:lang w:eastAsia="pl-PL"/>
        </w:rPr>
        <w:t>RW2.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Powyższe wymaganie dotyczy jedynie oznakowań profilowanych, takich jak oznakowanie strukturalne wykonywane masami termoplastycznymi, masami chemoutwardzalnymi i taśmami w postaci np. poprzecznych 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wygarbień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(baretek), drop-on-line, itp.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Wykonywanie pomiarów na oznakowaniu ciągłym z naniesionymi 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wygarbieniami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może być wykonywane tylko metoda dynamiczną. Pomiar aparatami ręcznymi jest albo niemożliwy albo obciążony dużym błędem.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Wykonywanie pomiarów odblaskowości na pozostałych typach oznakowania strukturalnego, z uwagi na jego niecałkowite i niejednorodne pokrycie powierzchni oznakowania, jest obarczone większym błędem niż na oznakowaniach pełnych. Dlatego podczas odbioru czy kontroli, należy przyjąć jako dopuszczalne wartości współczynnika odblasku o 20 % niższe od przyjętych w SST.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6.3.1.4. Szorstkość oznakowania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Miarą szorstkości oznakowania jest wartość wskaźnika szorstkości SRT (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Skid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Resistance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Tester) mierzona wahadłem angielskim, wg PN-EN 1436:2000 [4] lub POD-97 [9] i POD-2006 (po wydaniu) [10]. Wartość SRT symuluje warunki, w których pojazd wyposażony w typowe opony hamuje z blokadą kół przy prędkości </w:t>
      </w:r>
      <w:smartTag w:uri="urn:schemas-microsoft-com:office:smarttags" w:element="metricconverter">
        <w:smartTagPr>
          <w:attr w:name="ProductID" w:val="50 km/h"/>
        </w:smartTagPr>
        <w:r w:rsidRPr="006760D9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50 km/h</w:t>
        </w:r>
      </w:smartTag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 mokrej nawierzchni.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Wymaga się, aby wartość wskaźnika szorstkości SRT wynosiła na oznakowaniu: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w ciągu całego okresu użytkowania, co najmniej 45 jednostek SRT (klasa S1).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Dopuszcza się podwyższenie w SST wymagania szorstkości do 50 – 60 jednostek SRT (klasy S2 – S3), w uzasadnionych przypadkach. Uzyskanie większej szorstkości oznakowania, wiąże się z zastosowaniem kruszywa przeciwpoślizgowego samego lub w mieszaninie z kulkami szklanymi wg PN-EN 1423:2001 [3]. Należy przy tym wziąć pod uwagę jednoczesne obniżenie wartości współczynnika luminancji i współczynnika odblasku.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Szorstkość oznakowania, na którym nie zastosowano kruszywa przeciwpoślizgowego, zazwyczaj wzrasta w okresie eksploatacji oznakowania, dlatego nie należy wymagać wyższej jego wartości na starcie, a niższej w okresie gwarancji.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Wykonywanie pomiarów wskaźnika szorstkości SRT dotyczy oznakowań jednolitych, płaskich, wykonanych farbami, masami termoplastycznymi, masami chemoutwardzalnymi i taśmami. Pomiar na oznakowaniu strukturalnym jest, jeśli możliwy, to nie miarodajny. W przypadku oznakowania z 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wygarbieniami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 punktowymi elementami odblaskowymi pomiar nie jest możliwy.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UWAGA: Wskaźnik szorstkości SRT w normach powierzchniowych został nazwany PTV (</w:t>
      </w:r>
      <w:proofErr w:type="spellStart"/>
      <w:r w:rsidRPr="006760D9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Polishing</w:t>
      </w:r>
      <w:proofErr w:type="spellEnd"/>
      <w:r w:rsidRPr="006760D9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Test Value) za PN-EN 13 036-4:2004(U)[6a]. Metoda pomiaru i sprzęt do jego wykonania są identyczne z przyjętymi w PN-EN 1436:2000[4] dla oznakowań poziomych.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6.3.1.5. Trwałość oznakowania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Trwałość oznakowania cienkowarstwowego oceniana jako stopień zużycia w 10-stopniowej skali LCPC określonej w POD-97 [9] lub POD-2006 (po wydaniu) [10] powinna wynosić po 12-miesięcznym okresie eksploatacji oznakowania: co najmniej 6.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Taka metoda oceny znajduje szczególnie zastosowanie do oceny przydatności materiałów do poziomego oznakowania dróg.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 stosunku do materiałów grubowarstwowych i taśm ocena ta jest stosowana dopiero po 2, 3, 4, 5 i 6 latach, gdy w oznakowaniu pojawiają się przetarcia do nawierzchni. Do oceny materiałów strukturalnych, o nieciągłym pokryciu nawierzchni metody tej nie stosuje się.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ab/>
        <w:t>W celach kontrolnych trwałość jest oceniana pośrednio przez sprawdzenie spełniania wymagań widoczności w dzień, w nocy i szorstkości.</w:t>
      </w:r>
    </w:p>
    <w:p w:rsidR="006760D9" w:rsidRPr="006760D9" w:rsidRDefault="006760D9" w:rsidP="006760D9">
      <w:pPr>
        <w:keepNext/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6.3.1.6. Czas schnięcia oznakowania (względnie czas do przejezdności oznakowania)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Za czas schnięcia oznakowania przyjmuje się czas upływający między wykonaniem oznakowania a jego oddaniem do ruchu.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Czas schnięcia oznakowania nie powinien przekraczać czasu gwarantowanego przez producenta, z tym że nie może przekraczać 2 godzin w przypadku wymalowań nocnych i 1 godziny w przypadku wymalowań dziennych. Metoda oznaczenia czasu schnięcia znajduje się w POD-97 [9] lub POD-2006 (po wydaniu) [10].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6.3.1.7. Grubość oznakowania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Grubość oznakowania, tj. podwyższenie ponad górną powierzchnię nawierzchni, powinna wynosić dla:</w:t>
      </w:r>
    </w:p>
    <w:p w:rsidR="006760D9" w:rsidRPr="006760D9" w:rsidRDefault="006760D9" w:rsidP="006760D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oznakowania cienkowarstwowego (grubość na mokro bez kulek szklanych), co najwyżej </w:t>
      </w:r>
      <w:smartTag w:uri="urn:schemas-microsoft-com:office:smarttags" w:element="metricconverter">
        <w:smartTagPr>
          <w:attr w:name="ProductID" w:val="0,89 mm"/>
        </w:smartTagPr>
        <w:r w:rsidRPr="006760D9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0,89 mm</w:t>
        </w:r>
      </w:smartTag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</w:p>
    <w:p w:rsidR="006760D9" w:rsidRPr="006760D9" w:rsidRDefault="006760D9" w:rsidP="006760D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oznakowania grubowarstwowego, co najmniej </w:t>
      </w:r>
      <w:smartTag w:uri="urn:schemas-microsoft-com:office:smarttags" w:element="metricconverter">
        <w:smartTagPr>
          <w:attr w:name="ProductID" w:val="0,90 mm"/>
        </w:smartTagPr>
        <w:r w:rsidRPr="006760D9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0,90 mm</w:t>
        </w:r>
      </w:smartTag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 co najwyżej </w:t>
      </w:r>
      <w:smartTag w:uri="urn:schemas-microsoft-com:office:smarttags" w:element="metricconverter">
        <w:smartTagPr>
          <w:attr w:name="ProductID" w:val="5 mm"/>
        </w:smartTagPr>
        <w:r w:rsidRPr="006760D9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5 mm</w:t>
        </w:r>
      </w:smartTag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</w:p>
    <w:p w:rsidR="006760D9" w:rsidRPr="006760D9" w:rsidRDefault="006760D9" w:rsidP="006760D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punktowych elementów odblaskowych umieszczanych na części jezdnej drogi, co najwyżej </w:t>
      </w:r>
      <w:smartTag w:uri="urn:schemas-microsoft-com:office:smarttags" w:element="metricconverter">
        <w:smartTagPr>
          <w:attr w:name="ProductID" w:val="15 mm"/>
        </w:smartTagPr>
        <w:r w:rsidRPr="006760D9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15 mm</w:t>
        </w:r>
      </w:smartTag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a w uzasadnionych przypadkach ustalonych w dokumentacji projektowej, co najwyżej </w:t>
      </w:r>
      <w:smartTag w:uri="urn:schemas-microsoft-com:office:smarttags" w:element="metricconverter">
        <w:smartTagPr>
          <w:attr w:name="ProductID" w:val="25 mm"/>
        </w:smartTagPr>
        <w:r w:rsidRPr="006760D9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25 mm</w:t>
        </w:r>
      </w:smartTag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Wymagania te nie obowiązują, jeśli nawierzchnia pod znakowaniem jest wyfrezowana.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Kontrola grubości oznakowania jest istotna w przypadku, gdy Wykonawca nie udziela gwarancji lub gdy nie są wykonywane pomiary kontrolne za pomocą aparatury lub poprzez ocenę wizualną.</w:t>
      </w:r>
    </w:p>
    <w:p w:rsidR="006760D9" w:rsidRPr="006760D9" w:rsidRDefault="006760D9" w:rsidP="006760D9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6.3.2.</w:t>
      </w: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Badania wykonania znakowania poziomego z materiału cienkowarstwowego lub grubowarstwowego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Wykonawca wykonując znakowanie poziome z materiału cienko- lub grubowarstwowego przeprowadza przed rozpoczęciem każdej pracy oraz w czasie jej wykonywania, co najmniej raz dziennie, lub zgodnie z ustaleniem SST, następujące badania: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a) przed rozpoczęciem pracy: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sprawdzenie oznakowania opakowań,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wizualną ocenę stanu  materiału, w zakresie jego jednorodności i widocznych wad,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pomiar wilgotności względnej powietrza,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pomiar temperatury powietrza i nawierzchni,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badanie lepkości farby, wg POD-97 [9] lub POD-2006 (po wydaniu) [10],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b) w czasie wykonywania pracy: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pomiar grubości warstwy oznakowania,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pomiar czasu schnięcia, wg POD-97 [9] lub POD-2006 (po wydaniu) [10],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wizualną ocenę równomierności rozłożenia kulek szklanych podczas objazdu w nocy,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pomiar poziomych wymiarów oznakowania, na zgodność z dokumentacją projektową i załącznikiem nr 2 do rozporządzenia Ministra Infrastruktury [7],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wizualną ocenę równomierności skropienia (rozłożenia materiału) na całej szerokości linii,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oznaczenia czasu przejezdności, wg POD-97 [9] lub POD-2006 (po wydaniu) [10].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Protokół z przeprowadzonych badań wraz z jedną próbką, jednoznacznie oznakowaną, na blasze (300 x 250 x </w:t>
      </w:r>
      <w:smartTag w:uri="urn:schemas-microsoft-com:office:smarttags" w:element="metricconverter">
        <w:smartTagPr>
          <w:attr w:name="ProductID" w:val="1,5 mm"/>
        </w:smartTagPr>
        <w:r w:rsidRPr="006760D9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1,5 mm</w:t>
        </w:r>
      </w:smartTag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) Wykonawca powinien przechować do czasu upływu okresu gwarancji.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Do odbioru i w przypadku wątpliwości dotyczących wykonania oznakowania poziomego, Inżynier może zlecić wykonanie badań: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widzialności w nocy,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widzialności w dzień,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szorstkości,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odpowiadających wymaganiom podanym w punkcie 6.3.1 i wykonanych według metod określonych w Warunkach technicznych POD-97 [9] lub POD-2006 (po wydaniu) [10]. Jeżeli wyniki tych badań wykażą wadliwość wykonanego oznakowania to koszt badań ponosi Wykonawca, w przypadku przeciwnym - Zamawiający. Badania powinien zlecać Zamawiający do niezależnego laboratorium badawczego, co gwarantuje większa wiarygodność wyników.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W przypadku konieczności wykonywania pomiarów na otwartych do ruchu odcinkach dróg o dopuszczalnej prędkości 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3"/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6760D9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100 km/h</w:t>
        </w:r>
      </w:smartTag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należy ograniczyć je do linii krawędziowych zewnętrznych w przypadku wykonywania pomiarów aparatami ręcznymi, ze względu na bezpieczeństwo wykonujących pomiary.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Pomiary współczynnika odblasku na liniach segregacyjnych i krawędziowych wewnętrznych, na otwartych do ruchu odcinkach dróg o dopuszczalnej prędkości 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3"/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6760D9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100 km/h</w:t>
        </w:r>
      </w:smartTag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, a także na liniach podłużnych 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oznakowań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 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wygarbieniami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, należy wykonywać przy użyciu mobilnego reflektometru zainstalowanego na samochodzie i wykonującego pomiary w ruchu.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W przypadku wykonywania pomiarów współczynnika odblaskowości i współczynników luminancji aparatami ręcznymi częstotliwość pomiarów należy dostosować do długości badanego odcinka, zgodnie z tablicą 2. W każdym z 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 xml:space="preserve">mierzonych punktów należy wykonać po 5 odczytów współczynnika odblasku i po 3 odczyty współczynników luminancji w odległości jeden od drugiego minimum </w:t>
      </w:r>
      <w:smartTag w:uri="urn:schemas-microsoft-com:office:smarttags" w:element="metricconverter">
        <w:smartTagPr>
          <w:attr w:name="ProductID" w:val="1 m"/>
        </w:smartTagPr>
        <w:r w:rsidRPr="006760D9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 m</w:t>
        </w:r>
      </w:smartTag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ind w:left="851" w:hanging="851"/>
        <w:jc w:val="both"/>
        <w:textAlignment w:val="baseline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Tablica 2. Częstotliwość pomiarów współczynników odblaskowości i luminancji aparatami ręcznymi</w:t>
      </w: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995"/>
        <w:gridCol w:w="2126"/>
        <w:gridCol w:w="1559"/>
      </w:tblGrid>
      <w:tr w:rsidR="006760D9" w:rsidRPr="006760D9" w:rsidTr="003E7BCD"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95" w:type="dxa"/>
            <w:tcBorders>
              <w:bottom w:val="double" w:sz="4" w:space="0" w:color="auto"/>
            </w:tcBorders>
            <w:vAlign w:val="center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Długość odcinka, km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Częstotliwość pomiarów, co najmniej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Minimalna ilość pomiarów</w:t>
            </w:r>
          </w:p>
        </w:tc>
      </w:tr>
      <w:tr w:rsidR="006760D9" w:rsidRPr="006760D9" w:rsidTr="003E7BCD">
        <w:tc>
          <w:tcPr>
            <w:tcW w:w="567" w:type="dxa"/>
            <w:tcBorders>
              <w:top w:val="double" w:sz="4" w:space="0" w:color="auto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95" w:type="dxa"/>
            <w:tcBorders>
              <w:top w:val="double" w:sz="4" w:space="0" w:color="auto"/>
            </w:tcBorders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0 do 3</w:t>
            </w:r>
          </w:p>
        </w:tc>
        <w:tc>
          <w:tcPr>
            <w:tcW w:w="2126" w:type="dxa"/>
            <w:tcBorders>
              <w:top w:val="double" w:sz="4" w:space="0" w:color="auto"/>
            </w:tcBorders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od 0,1 do </w:t>
            </w:r>
            <w:smartTag w:uri="urn:schemas-microsoft-com:office:smarttags" w:element="metricconverter">
              <w:smartTagPr>
                <w:attr w:name="ProductID" w:val="0,5 km"/>
              </w:smartTagPr>
              <w:r w:rsidRPr="006760D9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0,5 km</w:t>
              </w:r>
            </w:smartTag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3-6</w:t>
            </w:r>
          </w:p>
        </w:tc>
      </w:tr>
      <w:tr w:rsidR="006760D9" w:rsidRPr="006760D9" w:rsidTr="003E7BCD">
        <w:tc>
          <w:tcPr>
            <w:tcW w:w="567" w:type="dxa"/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95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3 do 10</w:t>
            </w:r>
          </w:p>
        </w:tc>
        <w:tc>
          <w:tcPr>
            <w:tcW w:w="2126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co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6760D9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1 km</w:t>
              </w:r>
            </w:smartTag>
          </w:p>
        </w:tc>
        <w:tc>
          <w:tcPr>
            <w:tcW w:w="1559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</w:tc>
      </w:tr>
      <w:tr w:rsidR="006760D9" w:rsidRPr="006760D9" w:rsidTr="003E7BCD">
        <w:tc>
          <w:tcPr>
            <w:tcW w:w="567" w:type="dxa"/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995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od 10 do 20 </w:t>
            </w:r>
          </w:p>
        </w:tc>
        <w:tc>
          <w:tcPr>
            <w:tcW w:w="2126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co </w:t>
            </w:r>
            <w:smartTag w:uri="urn:schemas-microsoft-com:office:smarttags" w:element="metricconverter">
              <w:smartTagPr>
                <w:attr w:name="ProductID" w:val="2 km"/>
              </w:smartTagPr>
              <w:r w:rsidRPr="006760D9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2 km</w:t>
              </w:r>
            </w:smartTag>
          </w:p>
        </w:tc>
        <w:tc>
          <w:tcPr>
            <w:tcW w:w="1559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</w:tc>
      </w:tr>
      <w:tr w:rsidR="006760D9" w:rsidRPr="006760D9" w:rsidTr="003E7BCD">
        <w:tc>
          <w:tcPr>
            <w:tcW w:w="567" w:type="dxa"/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995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od 20 do 30    </w:t>
            </w:r>
          </w:p>
        </w:tc>
        <w:tc>
          <w:tcPr>
            <w:tcW w:w="2126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co </w:t>
            </w:r>
            <w:smartTag w:uri="urn:schemas-microsoft-com:office:smarttags" w:element="metricconverter">
              <w:smartTagPr>
                <w:attr w:name="ProductID" w:val="3 km"/>
              </w:smartTagPr>
              <w:r w:rsidRPr="006760D9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3 km</w:t>
              </w:r>
            </w:smartTag>
          </w:p>
        </w:tc>
        <w:tc>
          <w:tcPr>
            <w:tcW w:w="1559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</w:tc>
      </w:tr>
      <w:tr w:rsidR="006760D9" w:rsidRPr="006760D9" w:rsidTr="003E7BCD">
        <w:tc>
          <w:tcPr>
            <w:tcW w:w="567" w:type="dxa"/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995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powyżej 30</w:t>
            </w:r>
          </w:p>
        </w:tc>
        <w:tc>
          <w:tcPr>
            <w:tcW w:w="2126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co </w:t>
            </w:r>
            <w:smartTag w:uri="urn:schemas-microsoft-com:office:smarttags" w:element="metricconverter">
              <w:smartTagPr>
                <w:attr w:name="ProductID" w:val="4 km"/>
              </w:smartTagPr>
              <w:r w:rsidRPr="006760D9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4 km</w:t>
              </w:r>
            </w:smartTag>
          </w:p>
        </w:tc>
        <w:tc>
          <w:tcPr>
            <w:tcW w:w="1559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&gt; 11</w:t>
            </w:r>
          </w:p>
        </w:tc>
      </w:tr>
    </w:tbl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Wartość wskaźnika szorstkości zaleca się oznaczyć w 2 – 4 punktach oznakowania odcinka.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6.3.3. 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Badania wykonania oznakowania poziomego z zastosowaniem punktowych elementów odblaskowych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Wykonawca wykonując oznakowanie z prefabrykowanych elementów odblaskowych przeprowadza, co najmniej raz dziennie lub zgodnie z ustaleniem SST, następujące badania: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sprawdzenie oznakowania opakowań,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sprawdzenie rodzaju stosowanego kleju lub innych elementów mocujących, zgodnie z zaleceniami SST,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wizualną ocenę stanu elementów, w zakresie ich kompletności i braku wad,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temperatury powietrza i nawierzchni,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pomiaru czasu oddania do ruchu,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wizualną ocenę liniowości i kierunkowości przyklejenia elementów,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równomierności przyklejenia elementów na całej długości linii,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zgodności wykonania oznakowania z dokumentacja projektową i załącznikiem nr 2 do rozporządzenia Ministra Infrastruktury z 3 lipca 2003 r. [7].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Protokół z przeprowadzonych badań wraz z próbkami przyklejonych elementów, w liczbie określonej w SST, Wykonawca przechowuje do czasu upływu okresu gwarancji.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 przypadku wątpliwości dotyczących wykonania oznakowania poziomego Inżynier może zlecić wykonanie badań widzialności w nocy, na próbkach zdjętych z nawierzchni i dostarczonych do laboratorium, na zgodność z wymaganiami podanymi            w SST lub aprobacie technicznej, wykonanych według metod określonych w                  PN-EN 1463-1 [5] lub w Warunkach technicznych POD-97 [9] lub POD-2006 (po wydaniu) [10]. Jeśli wyniki tych badań wykażą wadliwość wykonanego oznakowania to koszt badań ponosi Wykonawca, w przypadku przeciwnym - Zamawiający.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6.3.4. 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Zbiorcze zestawienie wymagań dla materiałów i oznakowań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W tablicy 3 podano zbiorcze zestawienie dla materiałów. W tablicy 4 podano zbiorcze zestawienie dla oznakowań na autostradach, drogach ekspresowych oraz na drogach o prędkości 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00B3"/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6760D9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100 km/h</w:t>
        </w:r>
      </w:smartTag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lub o natężeniu ruchu &gt; 2 500 pojazdów rzeczywistych na dobę na pas. W tablicy 5 podano zbiorcze zestawienie dla oznakowań na pozostałych drogach.</w:t>
      </w:r>
    </w:p>
    <w:p w:rsidR="006760D9" w:rsidRPr="006760D9" w:rsidRDefault="006760D9" w:rsidP="006760D9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3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Tablica 3.   Zbiorcze zestawienie wymagań dla materiałów</w:t>
      </w:r>
    </w:p>
    <w:tbl>
      <w:tblPr>
        <w:tblW w:w="7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685"/>
        <w:gridCol w:w="1134"/>
        <w:gridCol w:w="2196"/>
      </w:tblGrid>
      <w:tr w:rsidR="006760D9" w:rsidRPr="006760D9" w:rsidTr="003E7BCD">
        <w:trPr>
          <w:tblHeader/>
        </w:trPr>
        <w:tc>
          <w:tcPr>
            <w:tcW w:w="496" w:type="dxa"/>
            <w:tcBorders>
              <w:bottom w:val="double" w:sz="4" w:space="0" w:color="auto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685" w:type="dxa"/>
            <w:tcBorders>
              <w:bottom w:val="double" w:sz="4" w:space="0" w:color="auto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Właściwość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2196" w:type="dxa"/>
            <w:tcBorders>
              <w:bottom w:val="double" w:sz="4" w:space="0" w:color="auto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Wymagania</w:t>
            </w:r>
          </w:p>
        </w:tc>
      </w:tr>
      <w:tr w:rsidR="006760D9" w:rsidRPr="006760D9" w:rsidTr="003E7BCD">
        <w:tc>
          <w:tcPr>
            <w:tcW w:w="496" w:type="dxa"/>
            <w:tcBorders>
              <w:top w:val="double" w:sz="4" w:space="0" w:color="auto"/>
            </w:tcBorders>
          </w:tcPr>
          <w:p w:rsidR="006760D9" w:rsidRPr="006760D9" w:rsidRDefault="006760D9" w:rsidP="006760D9">
            <w:pPr>
              <w:numPr>
                <w:ilvl w:val="0"/>
                <w:numId w:val="5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double" w:sz="4" w:space="0" w:color="auto"/>
            </w:tcBorders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Zawartość składników lotnych w materiałach do znakowania</w:t>
            </w:r>
          </w:p>
          <w:p w:rsidR="006760D9" w:rsidRPr="006760D9" w:rsidRDefault="006760D9" w:rsidP="006760D9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rozpuszczalników organicznych</w:t>
            </w:r>
          </w:p>
          <w:p w:rsidR="006760D9" w:rsidRPr="006760D9" w:rsidRDefault="006760D9" w:rsidP="006760D9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rozpuszczalników aromatycznych</w:t>
            </w:r>
          </w:p>
          <w:p w:rsidR="006760D9" w:rsidRPr="006760D9" w:rsidRDefault="006760D9" w:rsidP="006760D9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benzenu i rozpuszczalników chlorowanych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% (m/m)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% (m/m)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% (m/m)</w:t>
            </w:r>
          </w:p>
        </w:tc>
        <w:tc>
          <w:tcPr>
            <w:tcW w:w="2196" w:type="dxa"/>
            <w:tcBorders>
              <w:top w:val="double" w:sz="4" w:space="0" w:color="auto"/>
            </w:tcBorders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A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25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A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8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</w:t>
            </w:r>
          </w:p>
        </w:tc>
      </w:tr>
      <w:tr w:rsidR="006760D9" w:rsidRPr="006760D9" w:rsidTr="003E7BCD">
        <w:tc>
          <w:tcPr>
            <w:tcW w:w="496" w:type="dxa"/>
          </w:tcPr>
          <w:p w:rsidR="006760D9" w:rsidRPr="006760D9" w:rsidRDefault="006760D9" w:rsidP="006760D9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Właściwości kulek szklanych </w:t>
            </w:r>
          </w:p>
          <w:p w:rsidR="006760D9" w:rsidRPr="006760D9" w:rsidRDefault="006760D9" w:rsidP="006760D9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współczynnik załamania światła</w:t>
            </w:r>
          </w:p>
          <w:p w:rsidR="006760D9" w:rsidRPr="006760D9" w:rsidRDefault="006760D9" w:rsidP="006760D9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zawartość kulek z defektami</w:t>
            </w:r>
          </w:p>
        </w:tc>
        <w:tc>
          <w:tcPr>
            <w:tcW w:w="1134" w:type="dxa"/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2196" w:type="dxa"/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1,5</w:t>
            </w: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</w:p>
        </w:tc>
      </w:tr>
      <w:tr w:rsidR="006760D9" w:rsidRPr="006760D9" w:rsidTr="003E7BCD">
        <w:tc>
          <w:tcPr>
            <w:tcW w:w="496" w:type="dxa"/>
          </w:tcPr>
          <w:p w:rsidR="006760D9" w:rsidRPr="006760D9" w:rsidRDefault="006760D9" w:rsidP="006760D9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Okres stałości właściwości materiałów do znakowania przy składowaniu</w:t>
            </w:r>
          </w:p>
        </w:tc>
        <w:tc>
          <w:tcPr>
            <w:tcW w:w="1134" w:type="dxa"/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miesiące</w:t>
            </w:r>
          </w:p>
        </w:tc>
        <w:tc>
          <w:tcPr>
            <w:tcW w:w="2196" w:type="dxa"/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6</w:t>
            </w:r>
          </w:p>
        </w:tc>
      </w:tr>
    </w:tbl>
    <w:p w:rsidR="006760D9" w:rsidRPr="006760D9" w:rsidRDefault="006760D9" w:rsidP="006760D9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760D9" w:rsidRPr="006760D9" w:rsidRDefault="006760D9" w:rsidP="006760D9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 w:line="240" w:lineRule="auto"/>
        <w:ind w:left="851" w:hanging="851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Tablica 4.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Zbiorcze zestawienie wymagań dla oznakowań na autostradach, drogach ekspresowych oraz na drogach o prędkości 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00B3"/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6760D9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100 km/h</w:t>
        </w:r>
      </w:smartTag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lub o natężeniu ruchu &gt; 2 500 pojazdów rzeczywistych na dobę na pas</w:t>
      </w:r>
    </w:p>
    <w:tbl>
      <w:tblPr>
        <w:tblW w:w="7515" w:type="dxa"/>
        <w:tblBorders>
          <w:top w:val="doub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685"/>
        <w:gridCol w:w="1134"/>
        <w:gridCol w:w="1276"/>
        <w:gridCol w:w="924"/>
      </w:tblGrid>
      <w:tr w:rsidR="006760D9" w:rsidRPr="006760D9" w:rsidTr="003E7BCD">
        <w:trPr>
          <w:cantSplit/>
          <w:tblHeader/>
        </w:trPr>
        <w:tc>
          <w:tcPr>
            <w:tcW w:w="496" w:type="dxa"/>
            <w:tcBorders>
              <w:top w:val="single" w:sz="4" w:space="0" w:color="auto"/>
              <w:bottom w:val="double" w:sz="4" w:space="0" w:color="auto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685" w:type="dxa"/>
            <w:tcBorders>
              <w:top w:val="single" w:sz="4" w:space="0" w:color="auto"/>
              <w:bottom w:val="double" w:sz="4" w:space="0" w:color="auto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Właściwość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Jednostka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Wymagania</w:t>
            </w: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Klasa</w:t>
            </w:r>
          </w:p>
        </w:tc>
      </w:tr>
      <w:tr w:rsidR="006760D9" w:rsidRPr="006760D9" w:rsidTr="003E7BCD">
        <w:trPr>
          <w:cantSplit/>
        </w:trPr>
        <w:tc>
          <w:tcPr>
            <w:tcW w:w="496" w:type="dxa"/>
            <w:tcBorders>
              <w:top w:val="double" w:sz="4" w:space="0" w:color="auto"/>
            </w:tcBorders>
          </w:tcPr>
          <w:p w:rsidR="006760D9" w:rsidRPr="006760D9" w:rsidRDefault="006760D9" w:rsidP="006760D9">
            <w:pPr>
              <w:numPr>
                <w:ilvl w:val="0"/>
                <w:numId w:val="11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double" w:sz="4" w:space="0" w:color="auto"/>
            </w:tcBorders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Współczynnik odblasku R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pl-PL"/>
              </w:rPr>
              <w:t>L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dla oznako-</w:t>
            </w:r>
            <w:proofErr w:type="spellStart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wania</w:t>
            </w:r>
            <w:proofErr w:type="spellEnd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nowego (w ciągu 14 - 30 dni po wykonaniu) w stanie suchym barwy:    </w:t>
            </w:r>
          </w:p>
          <w:p w:rsidR="006760D9" w:rsidRPr="006760D9" w:rsidRDefault="006760D9" w:rsidP="006760D9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białej</w:t>
            </w:r>
          </w:p>
          <w:p w:rsidR="006760D9" w:rsidRPr="006760D9" w:rsidRDefault="006760D9" w:rsidP="006760D9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żółtej tymczasowej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mcd m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-2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lx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-1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mcd m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-2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lx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250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150</w:t>
            </w:r>
          </w:p>
        </w:tc>
        <w:tc>
          <w:tcPr>
            <w:tcW w:w="924" w:type="dxa"/>
            <w:tcBorders>
              <w:top w:val="double" w:sz="4" w:space="0" w:color="auto"/>
            </w:tcBorders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R4/5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R3</w:t>
            </w:r>
          </w:p>
        </w:tc>
      </w:tr>
      <w:tr w:rsidR="006760D9" w:rsidRPr="006760D9" w:rsidTr="003E7BCD">
        <w:trPr>
          <w:cantSplit/>
        </w:trPr>
        <w:tc>
          <w:tcPr>
            <w:tcW w:w="496" w:type="dxa"/>
          </w:tcPr>
          <w:p w:rsidR="006760D9" w:rsidRPr="006760D9" w:rsidRDefault="006760D9" w:rsidP="006760D9">
            <w:pPr>
              <w:numPr>
                <w:ilvl w:val="0"/>
                <w:numId w:val="11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Współczynnik odblasku R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pl-PL"/>
              </w:rPr>
              <w:t>L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dla oznako-</w:t>
            </w:r>
            <w:proofErr w:type="spellStart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wania</w:t>
            </w:r>
            <w:proofErr w:type="spellEnd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suchego w okresie od 1 do 6 miesięcy po wykonaniu, barwy: </w:t>
            </w:r>
          </w:p>
          <w:p w:rsidR="006760D9" w:rsidRPr="006760D9" w:rsidRDefault="006760D9" w:rsidP="006760D9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białej</w:t>
            </w:r>
          </w:p>
          <w:p w:rsidR="006760D9" w:rsidRPr="006760D9" w:rsidRDefault="006760D9" w:rsidP="006760D9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żółtej</w:t>
            </w:r>
          </w:p>
        </w:tc>
        <w:tc>
          <w:tcPr>
            <w:tcW w:w="1134" w:type="dxa"/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mcd m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-2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lx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-1</w:t>
            </w: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mcd m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-2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lx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276" w:type="dxa"/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200</w:t>
            </w: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100</w:t>
            </w:r>
          </w:p>
        </w:tc>
        <w:tc>
          <w:tcPr>
            <w:tcW w:w="924" w:type="dxa"/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R4</w:t>
            </w: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R2</w:t>
            </w:r>
          </w:p>
        </w:tc>
      </w:tr>
      <w:tr w:rsidR="006760D9" w:rsidRPr="006760D9" w:rsidTr="003E7BCD">
        <w:trPr>
          <w:cantSplit/>
        </w:trPr>
        <w:tc>
          <w:tcPr>
            <w:tcW w:w="496" w:type="dxa"/>
          </w:tcPr>
          <w:p w:rsidR="006760D9" w:rsidRPr="006760D9" w:rsidRDefault="006760D9" w:rsidP="006760D9">
            <w:pPr>
              <w:numPr>
                <w:ilvl w:val="0"/>
                <w:numId w:val="11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Współczynnik odblasku R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pl-PL"/>
              </w:rPr>
              <w:t>L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dla oznako-</w:t>
            </w:r>
            <w:proofErr w:type="spellStart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wania</w:t>
            </w:r>
            <w:proofErr w:type="spellEnd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suchego od 7 miesiąca po wykonaniu barwy białej</w:t>
            </w:r>
          </w:p>
        </w:tc>
        <w:tc>
          <w:tcPr>
            <w:tcW w:w="1134" w:type="dxa"/>
            <w:vAlign w:val="center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mcd m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-2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lx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276" w:type="dxa"/>
            <w:vAlign w:val="center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150</w:t>
            </w:r>
          </w:p>
        </w:tc>
        <w:tc>
          <w:tcPr>
            <w:tcW w:w="924" w:type="dxa"/>
            <w:vAlign w:val="center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R3</w:t>
            </w:r>
          </w:p>
        </w:tc>
      </w:tr>
      <w:tr w:rsidR="006760D9" w:rsidRPr="006760D9" w:rsidTr="003E7BCD">
        <w:trPr>
          <w:cantSplit/>
        </w:trPr>
        <w:tc>
          <w:tcPr>
            <w:tcW w:w="496" w:type="dxa"/>
          </w:tcPr>
          <w:p w:rsidR="006760D9" w:rsidRPr="006760D9" w:rsidRDefault="006760D9" w:rsidP="006760D9">
            <w:pPr>
              <w:numPr>
                <w:ilvl w:val="0"/>
                <w:numId w:val="11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Współczynnik odblasku R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pl-PL"/>
              </w:rPr>
              <w:t>L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dla grubowarstwowego strukturalnego oznako-</w:t>
            </w:r>
            <w:proofErr w:type="spellStart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wania</w:t>
            </w:r>
            <w:proofErr w:type="spellEnd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wilgotnego od 14 do 30 dnia po wykonaniu, barwy białej</w:t>
            </w:r>
          </w:p>
        </w:tc>
        <w:tc>
          <w:tcPr>
            <w:tcW w:w="1134" w:type="dxa"/>
            <w:vAlign w:val="center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mcd m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-2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lx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276" w:type="dxa"/>
            <w:vAlign w:val="center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50</w:t>
            </w:r>
          </w:p>
        </w:tc>
        <w:tc>
          <w:tcPr>
            <w:tcW w:w="924" w:type="dxa"/>
            <w:vAlign w:val="center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RW3</w:t>
            </w:r>
          </w:p>
        </w:tc>
      </w:tr>
      <w:tr w:rsidR="006760D9" w:rsidRPr="006760D9" w:rsidTr="003E7BCD">
        <w:trPr>
          <w:cantSplit/>
        </w:trPr>
        <w:tc>
          <w:tcPr>
            <w:tcW w:w="496" w:type="dxa"/>
          </w:tcPr>
          <w:p w:rsidR="006760D9" w:rsidRPr="006760D9" w:rsidRDefault="006760D9" w:rsidP="006760D9">
            <w:pPr>
              <w:numPr>
                <w:ilvl w:val="0"/>
                <w:numId w:val="11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Współczynnik odblasku R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pl-PL"/>
              </w:rPr>
              <w:t>L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dla grubowarstwowego strukturalnego oznako-</w:t>
            </w:r>
            <w:proofErr w:type="spellStart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wania</w:t>
            </w:r>
            <w:proofErr w:type="spellEnd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wilgotnego po 30 dniu od wykonania, barwy białej</w:t>
            </w:r>
          </w:p>
        </w:tc>
        <w:tc>
          <w:tcPr>
            <w:tcW w:w="1134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mcd m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-2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lx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276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35</w:t>
            </w:r>
          </w:p>
        </w:tc>
        <w:tc>
          <w:tcPr>
            <w:tcW w:w="924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RW2</w:t>
            </w:r>
          </w:p>
        </w:tc>
      </w:tr>
      <w:tr w:rsidR="006760D9" w:rsidRPr="006760D9" w:rsidTr="003E7BCD">
        <w:trPr>
          <w:cantSplit/>
        </w:trPr>
        <w:tc>
          <w:tcPr>
            <w:tcW w:w="496" w:type="dxa"/>
          </w:tcPr>
          <w:p w:rsidR="006760D9" w:rsidRPr="006760D9" w:rsidRDefault="006760D9" w:rsidP="006760D9">
            <w:pPr>
              <w:numPr>
                <w:ilvl w:val="0"/>
                <w:numId w:val="11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Współczynnik luminancji 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62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dla </w:t>
            </w:r>
            <w:proofErr w:type="spellStart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oznakowa-nia</w:t>
            </w:r>
            <w:proofErr w:type="spellEnd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nowego (od 14 do 30 dnia po wykonaniu)  barwy:</w:t>
            </w:r>
          </w:p>
          <w:p w:rsidR="006760D9" w:rsidRPr="006760D9" w:rsidRDefault="006760D9" w:rsidP="006760D9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białej na nawierzchni asfaltowej</w:t>
            </w:r>
          </w:p>
          <w:p w:rsidR="006760D9" w:rsidRPr="006760D9" w:rsidRDefault="006760D9" w:rsidP="006760D9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białej na nawierzchni betonowej</w:t>
            </w:r>
          </w:p>
          <w:p w:rsidR="006760D9" w:rsidRPr="006760D9" w:rsidRDefault="006760D9" w:rsidP="006760D9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żółtej </w:t>
            </w:r>
          </w:p>
        </w:tc>
        <w:tc>
          <w:tcPr>
            <w:tcW w:w="1134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276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0,40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0,50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0,30</w:t>
            </w:r>
          </w:p>
        </w:tc>
        <w:tc>
          <w:tcPr>
            <w:tcW w:w="924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B3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B4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B2</w:t>
            </w:r>
          </w:p>
        </w:tc>
      </w:tr>
      <w:tr w:rsidR="006760D9" w:rsidRPr="006760D9" w:rsidTr="003E7BCD">
        <w:trPr>
          <w:cantSplit/>
        </w:trPr>
        <w:tc>
          <w:tcPr>
            <w:tcW w:w="496" w:type="dxa"/>
          </w:tcPr>
          <w:p w:rsidR="006760D9" w:rsidRPr="006760D9" w:rsidRDefault="006760D9" w:rsidP="006760D9">
            <w:pPr>
              <w:numPr>
                <w:ilvl w:val="0"/>
                <w:numId w:val="11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Współczynnik luminancji 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62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dla </w:t>
            </w:r>
            <w:proofErr w:type="spellStart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oznakowa-nia</w:t>
            </w:r>
            <w:proofErr w:type="spellEnd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eksploatowanego (po 30 dniu od wykonania) barwy: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białej na nawierzchni asfaltowej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białej na nawierzchni betonowej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- żółtej </w:t>
            </w:r>
          </w:p>
        </w:tc>
        <w:tc>
          <w:tcPr>
            <w:tcW w:w="1134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276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0,30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0,40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0,20</w:t>
            </w:r>
          </w:p>
        </w:tc>
        <w:tc>
          <w:tcPr>
            <w:tcW w:w="924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B2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B3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B1</w:t>
            </w:r>
          </w:p>
        </w:tc>
      </w:tr>
      <w:tr w:rsidR="006760D9" w:rsidRPr="006760D9" w:rsidTr="003E7BCD">
        <w:trPr>
          <w:cantSplit/>
        </w:trPr>
        <w:tc>
          <w:tcPr>
            <w:tcW w:w="496" w:type="dxa"/>
          </w:tcPr>
          <w:p w:rsidR="006760D9" w:rsidRPr="006760D9" w:rsidRDefault="006760D9" w:rsidP="006760D9">
            <w:pPr>
              <w:numPr>
                <w:ilvl w:val="0"/>
                <w:numId w:val="11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Współczynnik luminancji w świetle rozproszonym </w:t>
            </w:r>
            <w:proofErr w:type="spellStart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Qd</w:t>
            </w:r>
            <w:proofErr w:type="spellEnd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(alternatywnie do 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62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 dla oznakowania nowego w ciągu od 14 do 30  dnia po wykonaniu, barwy:</w:t>
            </w:r>
          </w:p>
          <w:p w:rsidR="006760D9" w:rsidRPr="006760D9" w:rsidRDefault="006760D9" w:rsidP="006760D9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białej na nawierzchni asfaltowej</w:t>
            </w:r>
          </w:p>
          <w:p w:rsidR="006760D9" w:rsidRPr="006760D9" w:rsidRDefault="006760D9" w:rsidP="006760D9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białej na nawierzchni betonowej</w:t>
            </w:r>
          </w:p>
          <w:p w:rsidR="006760D9" w:rsidRPr="006760D9" w:rsidRDefault="006760D9" w:rsidP="006760D9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żółtej</w:t>
            </w:r>
          </w:p>
        </w:tc>
        <w:tc>
          <w:tcPr>
            <w:tcW w:w="1134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mcd m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-2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lx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-1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mcd m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-2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lx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-1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mcd m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-2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lx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276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 130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 160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 100</w:t>
            </w:r>
          </w:p>
        </w:tc>
        <w:tc>
          <w:tcPr>
            <w:tcW w:w="924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Q3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Q4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Q2</w:t>
            </w:r>
          </w:p>
        </w:tc>
      </w:tr>
      <w:tr w:rsidR="006760D9" w:rsidRPr="006760D9" w:rsidTr="003E7BCD">
        <w:trPr>
          <w:cantSplit/>
        </w:trPr>
        <w:tc>
          <w:tcPr>
            <w:tcW w:w="496" w:type="dxa"/>
          </w:tcPr>
          <w:p w:rsidR="006760D9" w:rsidRPr="006760D9" w:rsidRDefault="006760D9" w:rsidP="006760D9">
            <w:pPr>
              <w:numPr>
                <w:ilvl w:val="0"/>
                <w:numId w:val="11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3685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Współczynnik luminancji w świetle rozproszonym </w:t>
            </w:r>
            <w:proofErr w:type="spellStart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Qd</w:t>
            </w:r>
            <w:proofErr w:type="spellEnd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(alternatywnie do 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62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 dla oznakowania eksploatowanego w ciągu całego okresu eksploatacji po 30 dniu od wykonania,  barwy:</w:t>
            </w:r>
          </w:p>
          <w:p w:rsidR="006760D9" w:rsidRPr="006760D9" w:rsidRDefault="006760D9" w:rsidP="006760D9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białej na nawierzchni asfaltowej</w:t>
            </w:r>
          </w:p>
          <w:p w:rsidR="006760D9" w:rsidRPr="006760D9" w:rsidRDefault="006760D9" w:rsidP="006760D9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białej na nawierzchni betonowej</w:t>
            </w:r>
          </w:p>
          <w:p w:rsidR="006760D9" w:rsidRPr="006760D9" w:rsidRDefault="006760D9" w:rsidP="006760D9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żółtej</w:t>
            </w:r>
          </w:p>
        </w:tc>
        <w:tc>
          <w:tcPr>
            <w:tcW w:w="1134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mcd m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-2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lx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-1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mcd m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-2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lx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-1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mcd m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-2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lx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276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 100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 130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 80</w:t>
            </w:r>
          </w:p>
        </w:tc>
        <w:tc>
          <w:tcPr>
            <w:tcW w:w="924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Q2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Q3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Q1</w:t>
            </w:r>
          </w:p>
        </w:tc>
      </w:tr>
      <w:tr w:rsidR="006760D9" w:rsidRPr="006760D9" w:rsidTr="003E7BCD">
        <w:trPr>
          <w:cantSplit/>
        </w:trPr>
        <w:tc>
          <w:tcPr>
            <w:tcW w:w="496" w:type="dxa"/>
          </w:tcPr>
          <w:p w:rsidR="006760D9" w:rsidRPr="006760D9" w:rsidRDefault="006760D9" w:rsidP="006760D9">
            <w:pPr>
              <w:numPr>
                <w:ilvl w:val="0"/>
                <w:numId w:val="11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3685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Szorstkość oznakowania eksploatowanego</w:t>
            </w:r>
          </w:p>
        </w:tc>
        <w:tc>
          <w:tcPr>
            <w:tcW w:w="1134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wskaźnik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SRT</w:t>
            </w:r>
          </w:p>
        </w:tc>
        <w:tc>
          <w:tcPr>
            <w:tcW w:w="1276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45</w:t>
            </w:r>
          </w:p>
        </w:tc>
        <w:tc>
          <w:tcPr>
            <w:tcW w:w="924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S1</w:t>
            </w:r>
          </w:p>
        </w:tc>
      </w:tr>
      <w:tr w:rsidR="006760D9" w:rsidRPr="006760D9" w:rsidTr="003E7BCD">
        <w:trPr>
          <w:cantSplit/>
        </w:trPr>
        <w:tc>
          <w:tcPr>
            <w:tcW w:w="496" w:type="dxa"/>
          </w:tcPr>
          <w:p w:rsidR="006760D9" w:rsidRPr="006760D9" w:rsidRDefault="006760D9" w:rsidP="006760D9">
            <w:pPr>
              <w:numPr>
                <w:ilvl w:val="0"/>
                <w:numId w:val="11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Trwałość oznakowania </w:t>
            </w:r>
            <w:proofErr w:type="spellStart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cienkowarstwo-wego</w:t>
            </w:r>
            <w:proofErr w:type="spellEnd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po 12 miesiącach:</w:t>
            </w:r>
          </w:p>
        </w:tc>
        <w:tc>
          <w:tcPr>
            <w:tcW w:w="1134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skala LCPC</w:t>
            </w:r>
          </w:p>
        </w:tc>
        <w:tc>
          <w:tcPr>
            <w:tcW w:w="1276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6</w:t>
            </w:r>
          </w:p>
        </w:tc>
        <w:tc>
          <w:tcPr>
            <w:tcW w:w="924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</w:tr>
      <w:tr w:rsidR="006760D9" w:rsidRPr="006760D9" w:rsidTr="003E7BCD">
        <w:trPr>
          <w:cantSplit/>
        </w:trPr>
        <w:tc>
          <w:tcPr>
            <w:tcW w:w="496" w:type="dxa"/>
          </w:tcPr>
          <w:p w:rsidR="006760D9" w:rsidRPr="006760D9" w:rsidRDefault="006760D9" w:rsidP="006760D9">
            <w:pPr>
              <w:numPr>
                <w:ilvl w:val="0"/>
                <w:numId w:val="11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8</w:t>
            </w:r>
          </w:p>
        </w:tc>
        <w:tc>
          <w:tcPr>
            <w:tcW w:w="3685" w:type="dxa"/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Czas schnięcia materiału na nawierzchni</w:t>
            </w:r>
          </w:p>
          <w:p w:rsidR="006760D9" w:rsidRPr="006760D9" w:rsidRDefault="006760D9" w:rsidP="006760D9">
            <w:pPr>
              <w:numPr>
                <w:ilvl w:val="0"/>
                <w:numId w:val="20"/>
              </w:numPr>
              <w:tabs>
                <w:tab w:val="left" w:pos="-3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58" w:hanging="284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dzień</w:t>
            </w:r>
          </w:p>
          <w:p w:rsidR="006760D9" w:rsidRPr="006760D9" w:rsidRDefault="006760D9" w:rsidP="006760D9">
            <w:pPr>
              <w:numPr>
                <w:ilvl w:val="0"/>
                <w:numId w:val="20"/>
              </w:numPr>
              <w:tabs>
                <w:tab w:val="left" w:pos="-3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58" w:hanging="284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nocy</w:t>
            </w:r>
          </w:p>
        </w:tc>
        <w:tc>
          <w:tcPr>
            <w:tcW w:w="1134" w:type="dxa"/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</w:t>
            </w: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</w:t>
            </w:r>
          </w:p>
        </w:tc>
        <w:tc>
          <w:tcPr>
            <w:tcW w:w="1276" w:type="dxa"/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A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</w:t>
            </w: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A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2</w:t>
            </w:r>
          </w:p>
        </w:tc>
        <w:tc>
          <w:tcPr>
            <w:tcW w:w="924" w:type="dxa"/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</w:tr>
    </w:tbl>
    <w:p w:rsidR="006760D9" w:rsidRPr="006760D9" w:rsidRDefault="006760D9" w:rsidP="006760D9">
      <w:pPr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760D9" w:rsidRPr="006760D9" w:rsidRDefault="006760D9" w:rsidP="006760D9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 w:line="240" w:lineRule="auto"/>
        <w:ind w:left="851" w:hanging="851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5.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Zbiorcze zestawienie wymagań dla oznakowań na pozostałych drogach nie wymienionych w tablicy 4</w:t>
      </w:r>
    </w:p>
    <w:tbl>
      <w:tblPr>
        <w:tblW w:w="7515" w:type="dxa"/>
        <w:tblBorders>
          <w:top w:val="doub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685"/>
        <w:gridCol w:w="1134"/>
        <w:gridCol w:w="1276"/>
        <w:gridCol w:w="924"/>
      </w:tblGrid>
      <w:tr w:rsidR="006760D9" w:rsidRPr="006760D9" w:rsidTr="003E7BCD">
        <w:trPr>
          <w:cantSplit/>
          <w:tblHeader/>
        </w:trPr>
        <w:tc>
          <w:tcPr>
            <w:tcW w:w="496" w:type="dxa"/>
            <w:tcBorders>
              <w:top w:val="single" w:sz="4" w:space="0" w:color="auto"/>
              <w:bottom w:val="double" w:sz="4" w:space="0" w:color="auto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685" w:type="dxa"/>
            <w:tcBorders>
              <w:top w:val="single" w:sz="4" w:space="0" w:color="auto"/>
              <w:bottom w:val="double" w:sz="4" w:space="0" w:color="auto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Właściwość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Jednostka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Wymagania</w:t>
            </w: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Klasa</w:t>
            </w:r>
          </w:p>
        </w:tc>
      </w:tr>
      <w:tr w:rsidR="006760D9" w:rsidRPr="006760D9" w:rsidTr="003E7BCD">
        <w:trPr>
          <w:cantSplit/>
        </w:trPr>
        <w:tc>
          <w:tcPr>
            <w:tcW w:w="496" w:type="dxa"/>
            <w:tcBorders>
              <w:top w:val="double" w:sz="4" w:space="0" w:color="auto"/>
            </w:tcBorders>
          </w:tcPr>
          <w:p w:rsidR="006760D9" w:rsidRPr="006760D9" w:rsidRDefault="006760D9" w:rsidP="006760D9">
            <w:pPr>
              <w:numPr>
                <w:ilvl w:val="0"/>
                <w:numId w:val="21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double" w:sz="4" w:space="0" w:color="auto"/>
            </w:tcBorders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Współczynnik odblasku R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pl-PL"/>
              </w:rPr>
              <w:t>L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dla oznako-</w:t>
            </w:r>
            <w:proofErr w:type="spellStart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wania</w:t>
            </w:r>
            <w:proofErr w:type="spellEnd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nowego (w ciągu 14 - 30 dni po wykonaniu) w stanie suchym barwy:    </w:t>
            </w:r>
          </w:p>
          <w:p w:rsidR="006760D9" w:rsidRPr="006760D9" w:rsidRDefault="006760D9" w:rsidP="006760D9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białej,</w:t>
            </w:r>
          </w:p>
          <w:p w:rsidR="006760D9" w:rsidRPr="006760D9" w:rsidRDefault="006760D9" w:rsidP="006760D9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żółtej tymczasowej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mcd m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-2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lx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-1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mcd m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-2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lx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200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150</w:t>
            </w:r>
          </w:p>
        </w:tc>
        <w:tc>
          <w:tcPr>
            <w:tcW w:w="924" w:type="dxa"/>
            <w:tcBorders>
              <w:top w:val="double" w:sz="4" w:space="0" w:color="auto"/>
            </w:tcBorders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R4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R3</w:t>
            </w:r>
          </w:p>
        </w:tc>
      </w:tr>
      <w:tr w:rsidR="006760D9" w:rsidRPr="006760D9" w:rsidTr="003E7BCD">
        <w:trPr>
          <w:cantSplit/>
        </w:trPr>
        <w:tc>
          <w:tcPr>
            <w:tcW w:w="496" w:type="dxa"/>
          </w:tcPr>
          <w:p w:rsidR="006760D9" w:rsidRPr="006760D9" w:rsidRDefault="006760D9" w:rsidP="006760D9">
            <w:pPr>
              <w:numPr>
                <w:ilvl w:val="0"/>
                <w:numId w:val="21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Współczynnik odblasku R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pl-PL"/>
              </w:rPr>
              <w:t>L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dla oznako-</w:t>
            </w:r>
            <w:proofErr w:type="spellStart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wania</w:t>
            </w:r>
            <w:proofErr w:type="spellEnd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eksploatowanego od 2 do 6 miesięcy po wykonaniu, barwy: </w:t>
            </w:r>
          </w:p>
          <w:p w:rsidR="006760D9" w:rsidRPr="006760D9" w:rsidRDefault="006760D9" w:rsidP="006760D9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białej,</w:t>
            </w:r>
          </w:p>
          <w:p w:rsidR="006760D9" w:rsidRPr="006760D9" w:rsidRDefault="006760D9" w:rsidP="006760D9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żółtej</w:t>
            </w:r>
          </w:p>
        </w:tc>
        <w:tc>
          <w:tcPr>
            <w:tcW w:w="1134" w:type="dxa"/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mcd m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-2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lx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-1</w:t>
            </w: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mcd m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-2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lx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276" w:type="dxa"/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150</w:t>
            </w: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100</w:t>
            </w:r>
          </w:p>
        </w:tc>
        <w:tc>
          <w:tcPr>
            <w:tcW w:w="924" w:type="dxa"/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R3</w:t>
            </w: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R2</w:t>
            </w:r>
          </w:p>
        </w:tc>
      </w:tr>
      <w:tr w:rsidR="006760D9" w:rsidRPr="006760D9" w:rsidTr="003E7BCD">
        <w:trPr>
          <w:cantSplit/>
        </w:trPr>
        <w:tc>
          <w:tcPr>
            <w:tcW w:w="496" w:type="dxa"/>
          </w:tcPr>
          <w:p w:rsidR="006760D9" w:rsidRPr="006760D9" w:rsidRDefault="006760D9" w:rsidP="006760D9">
            <w:pPr>
              <w:numPr>
                <w:ilvl w:val="0"/>
                <w:numId w:val="21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Współczynnik odblasku R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pl-PL"/>
              </w:rPr>
              <w:t>L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dla oznako-</w:t>
            </w:r>
            <w:proofErr w:type="spellStart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wania</w:t>
            </w:r>
            <w:proofErr w:type="spellEnd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suchego od 7 miesiąca po wykonaniu barwy białej</w:t>
            </w:r>
          </w:p>
        </w:tc>
        <w:tc>
          <w:tcPr>
            <w:tcW w:w="1134" w:type="dxa"/>
            <w:vAlign w:val="center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mcd m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-2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lx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276" w:type="dxa"/>
            <w:vAlign w:val="center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100</w:t>
            </w:r>
          </w:p>
        </w:tc>
        <w:tc>
          <w:tcPr>
            <w:tcW w:w="924" w:type="dxa"/>
            <w:vAlign w:val="center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R2</w:t>
            </w:r>
          </w:p>
        </w:tc>
      </w:tr>
      <w:tr w:rsidR="006760D9" w:rsidRPr="006760D9" w:rsidTr="003E7BCD">
        <w:trPr>
          <w:cantSplit/>
        </w:trPr>
        <w:tc>
          <w:tcPr>
            <w:tcW w:w="496" w:type="dxa"/>
          </w:tcPr>
          <w:p w:rsidR="006760D9" w:rsidRPr="006760D9" w:rsidRDefault="006760D9" w:rsidP="006760D9">
            <w:pPr>
              <w:numPr>
                <w:ilvl w:val="0"/>
                <w:numId w:val="21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Współczynnik odblasku R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pl-PL"/>
              </w:rPr>
              <w:t>L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dla grubowarstwowego strukturalnego oznako-</w:t>
            </w:r>
            <w:proofErr w:type="spellStart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wania</w:t>
            </w:r>
            <w:proofErr w:type="spellEnd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wilgotnego od 14 do 30 dnia po wykonaniu, barwy białej</w:t>
            </w:r>
          </w:p>
        </w:tc>
        <w:tc>
          <w:tcPr>
            <w:tcW w:w="1134" w:type="dxa"/>
            <w:vAlign w:val="center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mcd m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-2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lx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276" w:type="dxa"/>
            <w:vAlign w:val="center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50</w:t>
            </w:r>
          </w:p>
        </w:tc>
        <w:tc>
          <w:tcPr>
            <w:tcW w:w="924" w:type="dxa"/>
            <w:vAlign w:val="center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RW3</w:t>
            </w:r>
          </w:p>
        </w:tc>
      </w:tr>
      <w:tr w:rsidR="006760D9" w:rsidRPr="006760D9" w:rsidTr="003E7BCD">
        <w:trPr>
          <w:cantSplit/>
        </w:trPr>
        <w:tc>
          <w:tcPr>
            <w:tcW w:w="496" w:type="dxa"/>
          </w:tcPr>
          <w:p w:rsidR="006760D9" w:rsidRPr="006760D9" w:rsidRDefault="006760D9" w:rsidP="006760D9">
            <w:pPr>
              <w:numPr>
                <w:ilvl w:val="0"/>
                <w:numId w:val="21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Współczynnik odblasku R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pl-PL"/>
              </w:rPr>
              <w:t>L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dla grubowarstwowego strukturalnego oznako-</w:t>
            </w:r>
            <w:proofErr w:type="spellStart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wania</w:t>
            </w:r>
            <w:proofErr w:type="spellEnd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wilgotnego po 30 dniu od wykonania, barwy białej</w:t>
            </w:r>
          </w:p>
        </w:tc>
        <w:tc>
          <w:tcPr>
            <w:tcW w:w="1134" w:type="dxa"/>
            <w:vAlign w:val="center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mcd m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-2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lx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276" w:type="dxa"/>
            <w:vAlign w:val="center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35</w:t>
            </w:r>
          </w:p>
        </w:tc>
        <w:tc>
          <w:tcPr>
            <w:tcW w:w="924" w:type="dxa"/>
            <w:vAlign w:val="center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RW2</w:t>
            </w:r>
          </w:p>
        </w:tc>
      </w:tr>
      <w:tr w:rsidR="006760D9" w:rsidRPr="006760D9" w:rsidTr="003E7BCD">
        <w:trPr>
          <w:cantSplit/>
        </w:trPr>
        <w:tc>
          <w:tcPr>
            <w:tcW w:w="496" w:type="dxa"/>
          </w:tcPr>
          <w:p w:rsidR="006760D9" w:rsidRPr="006760D9" w:rsidRDefault="006760D9" w:rsidP="006760D9">
            <w:pPr>
              <w:numPr>
                <w:ilvl w:val="0"/>
                <w:numId w:val="21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Współczynnik luminancji 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0062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dla </w:t>
            </w:r>
            <w:proofErr w:type="spellStart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oznakowa-nia</w:t>
            </w:r>
            <w:proofErr w:type="spellEnd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nowego (od 14 do 30 dnia po wykonaniu)  barwy:</w:t>
            </w:r>
          </w:p>
          <w:p w:rsidR="006760D9" w:rsidRPr="006760D9" w:rsidRDefault="006760D9" w:rsidP="006760D9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białej na nawierzchni asfaltowej,</w:t>
            </w:r>
          </w:p>
          <w:p w:rsidR="006760D9" w:rsidRPr="006760D9" w:rsidRDefault="006760D9" w:rsidP="006760D9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białej na nawierzchni betonowej,</w:t>
            </w:r>
          </w:p>
          <w:p w:rsidR="006760D9" w:rsidRPr="006760D9" w:rsidRDefault="006760D9" w:rsidP="006760D9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żółtej</w:t>
            </w:r>
          </w:p>
        </w:tc>
        <w:tc>
          <w:tcPr>
            <w:tcW w:w="1134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276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0,40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0,50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0,30</w:t>
            </w:r>
          </w:p>
        </w:tc>
        <w:tc>
          <w:tcPr>
            <w:tcW w:w="924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B3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B4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B2</w:t>
            </w:r>
          </w:p>
        </w:tc>
      </w:tr>
      <w:tr w:rsidR="006760D9" w:rsidRPr="006760D9" w:rsidTr="003E7BCD">
        <w:trPr>
          <w:cantSplit/>
        </w:trPr>
        <w:tc>
          <w:tcPr>
            <w:tcW w:w="496" w:type="dxa"/>
          </w:tcPr>
          <w:p w:rsidR="006760D9" w:rsidRPr="006760D9" w:rsidRDefault="006760D9" w:rsidP="006760D9">
            <w:pPr>
              <w:numPr>
                <w:ilvl w:val="0"/>
                <w:numId w:val="21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Współczynnik luminancji 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62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dla </w:t>
            </w:r>
            <w:proofErr w:type="spellStart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oznakowa-nia</w:t>
            </w:r>
            <w:proofErr w:type="spellEnd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eksploatowanego (po 30 dniu od wykonania) barwy: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białej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żółtej</w:t>
            </w:r>
          </w:p>
        </w:tc>
        <w:tc>
          <w:tcPr>
            <w:tcW w:w="1134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276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0,30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0,20</w:t>
            </w:r>
          </w:p>
        </w:tc>
        <w:tc>
          <w:tcPr>
            <w:tcW w:w="924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B2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B1</w:t>
            </w:r>
          </w:p>
        </w:tc>
      </w:tr>
      <w:tr w:rsidR="006760D9" w:rsidRPr="006760D9" w:rsidTr="003E7BCD">
        <w:trPr>
          <w:cantSplit/>
        </w:trPr>
        <w:tc>
          <w:tcPr>
            <w:tcW w:w="496" w:type="dxa"/>
          </w:tcPr>
          <w:p w:rsidR="006760D9" w:rsidRPr="006760D9" w:rsidRDefault="006760D9" w:rsidP="006760D9">
            <w:pPr>
              <w:numPr>
                <w:ilvl w:val="0"/>
                <w:numId w:val="21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Współczynnik luminancji w świetle rozproszonym </w:t>
            </w:r>
            <w:proofErr w:type="spellStart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Qd</w:t>
            </w:r>
            <w:proofErr w:type="spellEnd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(alternatywnie do 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62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 dla oznakowania nowego w ciągu od 14 do 30  dnia po wykonaniu, barwy:</w:t>
            </w:r>
          </w:p>
          <w:p w:rsidR="006760D9" w:rsidRPr="006760D9" w:rsidRDefault="006760D9" w:rsidP="006760D9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białej na nawierzchni asfaltowej</w:t>
            </w:r>
          </w:p>
          <w:p w:rsidR="006760D9" w:rsidRPr="006760D9" w:rsidRDefault="006760D9" w:rsidP="006760D9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białej na nawierzchni betonowej</w:t>
            </w:r>
          </w:p>
          <w:p w:rsidR="006760D9" w:rsidRPr="006760D9" w:rsidRDefault="006760D9" w:rsidP="006760D9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żółtej</w:t>
            </w:r>
          </w:p>
        </w:tc>
        <w:tc>
          <w:tcPr>
            <w:tcW w:w="1134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mcd m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-2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lx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-1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mcd m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-2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lx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-1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mcd m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-2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lx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276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130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160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100</w:t>
            </w:r>
          </w:p>
        </w:tc>
        <w:tc>
          <w:tcPr>
            <w:tcW w:w="924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Q3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Q4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Q2</w:t>
            </w:r>
          </w:p>
        </w:tc>
      </w:tr>
      <w:tr w:rsidR="006760D9" w:rsidRPr="006760D9" w:rsidTr="003E7BCD">
        <w:trPr>
          <w:cantSplit/>
        </w:trPr>
        <w:tc>
          <w:tcPr>
            <w:tcW w:w="496" w:type="dxa"/>
          </w:tcPr>
          <w:p w:rsidR="006760D9" w:rsidRPr="006760D9" w:rsidRDefault="006760D9" w:rsidP="006760D9">
            <w:pPr>
              <w:numPr>
                <w:ilvl w:val="0"/>
                <w:numId w:val="21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3685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Współczynnik luminancji w świetle rozproszonym </w:t>
            </w:r>
            <w:proofErr w:type="spellStart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Qd</w:t>
            </w:r>
            <w:proofErr w:type="spellEnd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(alternatywnie do 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62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 dla oznakowania eksploatowanego w ciągu całego okresu eksploatacji po 30 dniu od wykonania,  barwy:</w:t>
            </w:r>
          </w:p>
          <w:p w:rsidR="006760D9" w:rsidRPr="006760D9" w:rsidRDefault="006760D9" w:rsidP="006760D9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białej na nawierzchni asfaltowej</w:t>
            </w:r>
          </w:p>
          <w:p w:rsidR="006760D9" w:rsidRPr="006760D9" w:rsidRDefault="006760D9" w:rsidP="006760D9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białej na nawierzchni betonowej</w:t>
            </w:r>
          </w:p>
          <w:p w:rsidR="006760D9" w:rsidRPr="006760D9" w:rsidRDefault="006760D9" w:rsidP="006760D9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żółtej</w:t>
            </w:r>
          </w:p>
        </w:tc>
        <w:tc>
          <w:tcPr>
            <w:tcW w:w="1134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mcd m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-2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lx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-1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mcd m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-2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lx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-1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mcd m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-2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lx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276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100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130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80</w:t>
            </w:r>
          </w:p>
        </w:tc>
        <w:tc>
          <w:tcPr>
            <w:tcW w:w="924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Q2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Q3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Q1</w:t>
            </w:r>
          </w:p>
        </w:tc>
      </w:tr>
      <w:tr w:rsidR="006760D9" w:rsidRPr="006760D9" w:rsidTr="003E7BCD">
        <w:trPr>
          <w:cantSplit/>
        </w:trPr>
        <w:tc>
          <w:tcPr>
            <w:tcW w:w="496" w:type="dxa"/>
          </w:tcPr>
          <w:p w:rsidR="006760D9" w:rsidRPr="006760D9" w:rsidRDefault="006760D9" w:rsidP="006760D9">
            <w:pPr>
              <w:numPr>
                <w:ilvl w:val="0"/>
                <w:numId w:val="21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3685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Szorstkość oznakowania eksploatowanego</w:t>
            </w:r>
          </w:p>
        </w:tc>
        <w:tc>
          <w:tcPr>
            <w:tcW w:w="1134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wskaźnik</w:t>
            </w: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SRT</w:t>
            </w:r>
          </w:p>
        </w:tc>
        <w:tc>
          <w:tcPr>
            <w:tcW w:w="1276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45</w:t>
            </w:r>
          </w:p>
        </w:tc>
        <w:tc>
          <w:tcPr>
            <w:tcW w:w="924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S1</w:t>
            </w:r>
          </w:p>
        </w:tc>
      </w:tr>
      <w:tr w:rsidR="006760D9" w:rsidRPr="006760D9" w:rsidTr="003E7BCD">
        <w:trPr>
          <w:cantSplit/>
        </w:trPr>
        <w:tc>
          <w:tcPr>
            <w:tcW w:w="496" w:type="dxa"/>
          </w:tcPr>
          <w:p w:rsidR="006760D9" w:rsidRPr="006760D9" w:rsidRDefault="006760D9" w:rsidP="006760D9">
            <w:pPr>
              <w:numPr>
                <w:ilvl w:val="0"/>
                <w:numId w:val="21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Trwałość oznakowania </w:t>
            </w:r>
            <w:proofErr w:type="spellStart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cienkowarstwo-wego</w:t>
            </w:r>
            <w:proofErr w:type="spellEnd"/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po 12 miesiącach:</w:t>
            </w:r>
          </w:p>
        </w:tc>
        <w:tc>
          <w:tcPr>
            <w:tcW w:w="1134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skala LCPC</w:t>
            </w:r>
          </w:p>
        </w:tc>
        <w:tc>
          <w:tcPr>
            <w:tcW w:w="1276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6</w:t>
            </w:r>
          </w:p>
        </w:tc>
        <w:tc>
          <w:tcPr>
            <w:tcW w:w="924" w:type="dxa"/>
          </w:tcPr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</w:tr>
      <w:tr w:rsidR="006760D9" w:rsidRPr="006760D9" w:rsidTr="003E7BCD">
        <w:trPr>
          <w:cantSplit/>
        </w:trPr>
        <w:tc>
          <w:tcPr>
            <w:tcW w:w="496" w:type="dxa"/>
          </w:tcPr>
          <w:p w:rsidR="006760D9" w:rsidRPr="006760D9" w:rsidRDefault="006760D9" w:rsidP="006760D9">
            <w:pPr>
              <w:numPr>
                <w:ilvl w:val="0"/>
                <w:numId w:val="21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685" w:type="dxa"/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Czas schnięcia materiału na nawierzchni</w:t>
            </w:r>
          </w:p>
          <w:p w:rsidR="006760D9" w:rsidRPr="006760D9" w:rsidRDefault="006760D9" w:rsidP="006760D9">
            <w:pPr>
              <w:numPr>
                <w:ilvl w:val="0"/>
                <w:numId w:val="20"/>
              </w:numPr>
              <w:tabs>
                <w:tab w:val="left" w:pos="-3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dzień</w:t>
            </w:r>
          </w:p>
          <w:p w:rsidR="006760D9" w:rsidRPr="006760D9" w:rsidRDefault="006760D9" w:rsidP="006760D9">
            <w:pPr>
              <w:numPr>
                <w:ilvl w:val="0"/>
                <w:numId w:val="20"/>
              </w:numPr>
              <w:tabs>
                <w:tab w:val="left" w:pos="-3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nocy</w:t>
            </w:r>
          </w:p>
        </w:tc>
        <w:tc>
          <w:tcPr>
            <w:tcW w:w="1134" w:type="dxa"/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</w:t>
            </w: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</w:t>
            </w:r>
          </w:p>
        </w:tc>
        <w:tc>
          <w:tcPr>
            <w:tcW w:w="1276" w:type="dxa"/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A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</w:t>
            </w: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A3"/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2</w:t>
            </w:r>
          </w:p>
        </w:tc>
        <w:tc>
          <w:tcPr>
            <w:tcW w:w="924" w:type="dxa"/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</w:tr>
    </w:tbl>
    <w:p w:rsidR="006760D9" w:rsidRPr="006760D9" w:rsidRDefault="006760D9" w:rsidP="006760D9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760D9" w:rsidRPr="006760D9" w:rsidRDefault="006760D9" w:rsidP="006760D9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6.4. Tolerancje wymiarów oznakowania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6.4.1. 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Tolerancje nowo wykonanego oznakowania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Tolerancje nowo wykonanego oznakowania poziomego, zgodnego z dokumentacją projektową i załącznikiem nr 2 do rozporządzenia Ministra Infrastruktury z 3.07.2003 r. [7], powinny odpowiadać następującym warunkom: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szerokość linii może różnić się od wymaganej o 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5 mm"/>
        </w:smartTagPr>
        <w:r w:rsidRPr="006760D9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5 mm</w:t>
        </w:r>
      </w:smartTag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długość linii może być mniejsza od wymaganej co najwyżej o </w:t>
      </w:r>
      <w:smartTag w:uri="urn:schemas-microsoft-com:office:smarttags" w:element="metricconverter">
        <w:smartTagPr>
          <w:attr w:name="ProductID" w:val="50 mm"/>
        </w:smartTagPr>
        <w:r w:rsidRPr="006760D9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50 mm</w:t>
        </w:r>
      </w:smartTag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lub większa co najwyżej o </w:t>
      </w:r>
      <w:smartTag w:uri="urn:schemas-microsoft-com:office:smarttags" w:element="metricconverter">
        <w:smartTagPr>
          <w:attr w:name="ProductID" w:val="150 mm"/>
        </w:smartTagPr>
        <w:r w:rsidRPr="006760D9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150 mm</w:t>
        </w:r>
      </w:smartTag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dla linii przerywanych, długość cyklu składającego się z linii i przerwy nie może odbiegać od średniej liczonej z 10 kolejnych cykli o więcej niż 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50 mm"/>
        </w:smartTagPr>
        <w:r w:rsidRPr="006760D9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50 mm</w:t>
        </w:r>
      </w:smartTag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długości wymaganej,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dla strzałek, liter i cyfr rozstaw punktów narożnikowych nie może mieć większej odchyłki od wymaganego wzoru niż 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50 mm"/>
        </w:smartTagPr>
        <w:r w:rsidRPr="006760D9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50 mm</w:t>
        </w:r>
      </w:smartTag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dla wymiaru długości i 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20 mm"/>
        </w:smartTagPr>
        <w:r w:rsidRPr="006760D9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20 mm</w:t>
        </w:r>
      </w:smartTag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dla wymiaru szerokości.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Przy wykonywaniu nowego oznakowania poziomego, spowodowanego zmianami organizacji ruchu, należy dokładnie usunąć zbędne stare oznakowanie.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6.4.2. 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Tolerancje przy odnawianiu istniejącego oznakowania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Przy odnawianiu istniejącego oznakowania należy dążyć do  pokrycia pełnej powierzchni istniejących znaków, przy zachowaniu dopuszczalnych tolerancji podanych w punkcie 6.4.1.</w:t>
      </w:r>
    </w:p>
    <w:p w:rsidR="006760D9" w:rsidRPr="006760D9" w:rsidRDefault="006760D9" w:rsidP="006760D9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3" w:name="_Toc420816686"/>
      <w:r w:rsidRPr="006760D9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7. Obmiar robót</w:t>
      </w:r>
      <w:bookmarkEnd w:id="13"/>
    </w:p>
    <w:p w:rsidR="006760D9" w:rsidRPr="006760D9" w:rsidRDefault="006760D9" w:rsidP="006760D9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7.1. Ogólne zasady obmiaru robót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obmiaru robót podano w OST D-M-00.00.00 „Wymagania ogólne” pkt 7.</w:t>
      </w:r>
    </w:p>
    <w:p w:rsidR="006760D9" w:rsidRPr="006760D9" w:rsidRDefault="006760D9" w:rsidP="006760D9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7.2. Jednostka obmiarowa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Jednostką obmiarową oznakowania poziomego jest m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2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(metr kwadratowy) powierzchni naniesionych oznakowań lub liczba umieszczonych punktowych elementów odblaskowych.</w:t>
      </w:r>
    </w:p>
    <w:p w:rsidR="006760D9" w:rsidRPr="006760D9" w:rsidRDefault="006760D9" w:rsidP="006760D9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4" w:name="_Toc420816687"/>
      <w:r w:rsidRPr="006760D9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8. odbiór robót</w:t>
      </w:r>
      <w:bookmarkEnd w:id="14"/>
    </w:p>
    <w:p w:rsidR="006760D9" w:rsidRPr="006760D9" w:rsidRDefault="006760D9" w:rsidP="006760D9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8.1. Ogólne zasady odbioru robót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odbioru robót podano w OST D-M-00.00.00 „Wymagania ogólne” pkt 8.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Roboty uznaje się za wykonane zgodnie z dokumentacją projektową, SST i wymaganiami Inżyniera, jeżeli wszystkie pomiary i badania, z zachowaniem tolerancji wg pkt 6, dały wyniki pozytywne.</w:t>
      </w:r>
    </w:p>
    <w:p w:rsidR="006760D9" w:rsidRPr="006760D9" w:rsidRDefault="006760D9" w:rsidP="006760D9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8.2. Odbiór robót zanikających i ulegających zakryciu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Odbiór robót zanikających i ulegających zakryciu, w zależności od przyjętego sposobu wykonania robót, może być dokonany po: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oczyszczeniu powierzchni nawierzchni,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przedznakowaniu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frezowaniu nawierzchni przed wykonaniem znakowania materiałem grubowarstwowym,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usunięciu istniejącego oznakowania poziomego,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wykonaniu podkładu (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primera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) na nawierzchni betonowej.</w:t>
      </w:r>
    </w:p>
    <w:p w:rsidR="006760D9" w:rsidRPr="006760D9" w:rsidRDefault="006760D9" w:rsidP="006760D9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8.3. Odbiór ostateczny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Odbioru ostatecznego należy dokonać po całkowitym zakończeniu robót, na podstawie wyników pomiarów i badań jakościowych określonych w punktach od 2 do 6.</w:t>
      </w:r>
    </w:p>
    <w:p w:rsidR="006760D9" w:rsidRPr="006760D9" w:rsidRDefault="006760D9" w:rsidP="006760D9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>8.4. Odbiór pogwarancyjny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Odbioru pogwarancyjnego należy dokonać po upływie okresu gwarancyjnego, ustalonego w SST. Sprawdzeniu podlegają cechy oznakowania określone niniejszym OST na podstawie badań wykonanych przed upływem okresu gwarancyjnego.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Zaleca się stosowanie następujących minimalnych okresów gwarancyjnych: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a) dla oznakowania cienkowarstwowego: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na odcinkach zamiejskich, z wyłączeniem przejść dla pieszych: co najmniej                       12 miesięcy,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na odcinkach przejść przez miejscowości: co najmniej 6 miesięcy,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na przejściach dla pieszych na odcinkach zamiejskich: co najmniej 6 miesięcy,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na przejściach dla pieszych w miejscowościach: co najmniej 3 miesiące,</w:t>
      </w:r>
    </w:p>
    <w:p w:rsidR="006760D9" w:rsidRPr="006760D9" w:rsidRDefault="006760D9" w:rsidP="006760D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dla oznakowania grubowarstwowego, oznakowania taśmami i punktowymi elementami odblaskowymi: co najmniej 24 miesiące.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 niektórych przypadkach można rozważać ograniczenia okresów gwarancyjnych dla oznakowań:</w:t>
      </w:r>
    </w:p>
    <w:p w:rsidR="006760D9" w:rsidRPr="006760D9" w:rsidRDefault="006760D9" w:rsidP="006760D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a) cienkowarstwowych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dla wymalowań farbami nie udziela się 12 miesięcznej gwarancji na wykonane oznakowanie w przypadku nawierzchni, których czas użytkowania jest krótszy niż jeden rok oraz dla oznakowań wykonanych w okresie od 1 listopada do 31 marca,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na nawierzchniach bitumicznych niejednorodnych o warstwie ścieralnej spękanej, kruszącej się, z luźnymi grysami, należy skrócić okres gwarancyjny dla linii segregacyjnych do 6 miesięcy, przejść dla pieszych i drobnych elementów do 3 miesięcy,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na nawierzchniach kostkowych o równej powierzchni w dobrym stanie, pożądane jest skrócić okres gwarancyjny dla linii segregacyjnych do 3  miesięcy, przejść dla pieszych i drobnych elementów do 1 miesiąca,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na nawierzchniach drogowych o silnie zdeformowanej, spękanej, łuszczącej się powierzchni, na złączach podłużnych jeśli są niejednorodne, tj. ze szczelinami, garbami podłużnymi i poprzecznymi, na nawierzchniach kostkowych w złym stanie (nierówna powierzchnia, kostka uszkodzona, braki kostki, luźne zanieczyszczenia w szczelinach między kostkami niemożliwe do usunięcia za pomocą szczotki i zamiatarki) - gwarancji nie powinno się udzielać,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w przypadku stosowania piasku  lub piasku z solą do zimowego utrzymania dróg, okres gwarancyjny należy skrócić do maksimum 9 miesięcy przy wymalowaniu wiosennym i do 6 miesięcy przy wymalowaniu jesiennym;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567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na nawierzchniach bitumicznych ułożonych do 1 miesiąca przed wykonaniem oznakowania (nawierzchnie nowe i odnowione) należy wymagać gwarancji maksymalnie 6 miesięcy przy minimalnych parametrach (R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bscript"/>
          <w:lang w:eastAsia="pl-PL"/>
        </w:rPr>
        <w:t>L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&gt; 100 mcd/m</w:t>
      </w:r>
      <w:r w:rsidRPr="006760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2</w:t>
      </w: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lx), po czym należy wykonać oznakowanie stałe z pełnymi wymaganiami odpowiednimi do rodzaju drogi.</w:t>
      </w:r>
    </w:p>
    <w:p w:rsidR="006760D9" w:rsidRPr="006760D9" w:rsidRDefault="006760D9" w:rsidP="006760D9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5" w:name="_Toc420816688"/>
      <w:r w:rsidRPr="006760D9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9. podstawa płatności</w:t>
      </w:r>
      <w:bookmarkEnd w:id="15"/>
    </w:p>
    <w:p w:rsidR="006760D9" w:rsidRPr="006760D9" w:rsidRDefault="006760D9" w:rsidP="006760D9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9.1. Ogólne ustalenia dotyczące podstawy płatności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ustalenia dotyczące podstawy płatności podano w OST D-M-00.00.00 „Wymagania ogólne” pkt 9. Ponadto Zamawiający powinien tak sformułować umowę, aby Wykonawca musiał doprowadzić oznakowanie do wymagań zawartych w SST w przypadku zauważenia niezgodności.</w:t>
      </w:r>
    </w:p>
    <w:p w:rsidR="006760D9" w:rsidRPr="006760D9" w:rsidRDefault="006760D9" w:rsidP="006760D9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9.2. Cena jednostki obmiarowej</w:t>
      </w:r>
    </w:p>
    <w:p w:rsidR="006760D9" w:rsidRPr="006760D9" w:rsidRDefault="006760D9" w:rsidP="006760D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Cena </w:t>
      </w:r>
      <w:smartTag w:uri="urn:schemas-microsoft-com:office:smarttags" w:element="metricconverter">
        <w:smartTagPr>
          <w:attr w:name="ProductID" w:val="1 m2"/>
        </w:smartTagPr>
        <w:r w:rsidRPr="006760D9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 m</w:t>
        </w:r>
        <w:r w:rsidRPr="006760D9">
          <w:rPr>
            <w:rFonts w:ascii="Times New Roman" w:eastAsia="Times New Roman" w:hAnsi="Times New Roman" w:cs="Times New Roman"/>
            <w:sz w:val="20"/>
            <w:szCs w:val="20"/>
            <w:vertAlign w:val="superscript"/>
            <w:lang w:eastAsia="pl-PL"/>
          </w:rPr>
          <w:t>2</w:t>
        </w:r>
      </w:smartTag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wykonania robót obejmuje: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prace pomiarowe, roboty przygotowawcze i oznakowanie robót,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przygotowanie i dostarczenie materiałów,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oczyszczenie podłoża (nawierzchni),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przedznakowanie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naniesienie powłoki znaków na nawierzchnię drogi o kształtach i wymiarach zgodnych z dokumentacją projektową i załącznikiem nr 2 do rozporządzenia Ministra Infrastruktury [7],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ochrona znaków przed zniszczeniem przez pojazdy w czasie prowadzenia robót,</w:t>
      </w:r>
    </w:p>
    <w:p w:rsidR="006760D9" w:rsidRPr="006760D9" w:rsidRDefault="006760D9" w:rsidP="00676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przeprowadzenie pomiarów i badań laboratoryjnych wymaganych w specyfikacji technicznej.</w:t>
      </w:r>
    </w:p>
    <w:p w:rsidR="006760D9" w:rsidRPr="006760D9" w:rsidRDefault="006760D9" w:rsidP="006760D9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6" w:name="_Toc420816689"/>
      <w:r w:rsidRPr="006760D9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10. przepisy  związane</w:t>
      </w:r>
      <w:bookmarkEnd w:id="16"/>
    </w:p>
    <w:p w:rsidR="006760D9" w:rsidRPr="006760D9" w:rsidRDefault="006760D9" w:rsidP="006760D9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10.1. Normy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842"/>
        <w:gridCol w:w="5172"/>
      </w:tblGrid>
      <w:tr w:rsidR="006760D9" w:rsidRPr="006760D9" w:rsidTr="003E7BC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PN-89/C-81400</w:t>
            </w:r>
          </w:p>
        </w:tc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Wyroby lakierowe. Pakowanie, przechowywanie i transport</w:t>
            </w:r>
          </w:p>
        </w:tc>
      </w:tr>
      <w:tr w:rsidR="006760D9" w:rsidRPr="006760D9" w:rsidTr="003E7BC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PN-85/O-79252</w:t>
            </w:r>
          </w:p>
        </w:tc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Opakowania transportowe z zawartością. Znaki i znakowanie. Wymagania podstawowe</w:t>
            </w:r>
          </w:p>
        </w:tc>
      </w:tr>
      <w:tr w:rsidR="006760D9" w:rsidRPr="006760D9" w:rsidTr="003E7BC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3.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PN-EN 1423:2000</w:t>
            </w: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</w:p>
        </w:tc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Materiały do poziomego oznakowania dróg Materiały do posypywania. Kulki szklane, kruszywo przeciwpoślizgowe i </w:t>
            </w: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ich mieszaniny)</w:t>
            </w:r>
          </w:p>
        </w:tc>
      </w:tr>
      <w:tr w:rsidR="006760D9" w:rsidRPr="006760D9" w:rsidTr="003E7BC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lastRenderedPageBreak/>
              <w:t>3a.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PN-EN 1423:2001/A1:2005</w:t>
            </w:r>
          </w:p>
        </w:tc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Materiały do poziomego oznakowania dróg Materiały do posypywania. Kulki szklane, kruszywo przeciwpoślizgowe i ich mieszaniny (Zmiana A1)</w:t>
            </w:r>
          </w:p>
        </w:tc>
      </w:tr>
      <w:tr w:rsidR="006760D9" w:rsidRPr="006760D9" w:rsidTr="003E7BC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4.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PN-EN 1436:2000</w:t>
            </w: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</w:p>
        </w:tc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Materiały do poziomego oznakowania dróg. Wymagania dotyczące poziomego oznakowania dróg</w:t>
            </w:r>
          </w:p>
        </w:tc>
      </w:tr>
      <w:tr w:rsidR="006760D9" w:rsidRPr="006760D9" w:rsidTr="003E7BC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4a.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PN-EN 1436:2000/A1:2005</w:t>
            </w:r>
          </w:p>
        </w:tc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Materiały do poziomego oznakowania dróg. Wymagania dotyczące poziomego oznakowania dróg (Zmiana A1)</w:t>
            </w:r>
          </w:p>
        </w:tc>
      </w:tr>
    </w:tbl>
    <w:p w:rsidR="006760D9" w:rsidRPr="006760D9" w:rsidRDefault="006760D9" w:rsidP="006760D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842"/>
        <w:gridCol w:w="5172"/>
      </w:tblGrid>
      <w:tr w:rsidR="006760D9" w:rsidRPr="006760D9" w:rsidTr="003E7BC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5.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PN-EN 1463-1:2000</w:t>
            </w:r>
          </w:p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</w:p>
        </w:tc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Materiały do poziomego oznakowania dróg. Punktowe elementy odblaskowe Część 1: Wymagania dotyczące charakterystyki nowego elementu</w:t>
            </w:r>
          </w:p>
        </w:tc>
      </w:tr>
      <w:tr w:rsidR="006760D9" w:rsidRPr="006760D9" w:rsidTr="003E7BC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5a.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PN-EN 1463-1:2000/A1:2005</w:t>
            </w:r>
          </w:p>
        </w:tc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Materiały do poziomego oznakowania dróg. Punktowe elementy odblaskowe Część 1: Wymagania dotyczące charakterystyki nowego elementu (Zmiana A1)</w:t>
            </w:r>
          </w:p>
        </w:tc>
      </w:tr>
      <w:tr w:rsidR="006760D9" w:rsidRPr="006760D9" w:rsidTr="003E7BC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5b.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PN-EN 1463-2:2000</w:t>
            </w:r>
          </w:p>
        </w:tc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Materiały do poziomego oznakowania dróg. Punktowe elementy odblaskowe Część 2: Badania terenowe</w:t>
            </w:r>
          </w:p>
        </w:tc>
      </w:tr>
      <w:tr w:rsidR="006760D9" w:rsidRPr="006760D9" w:rsidTr="003E7BC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PN-EN 1871:2003</w:t>
            </w:r>
          </w:p>
        </w:tc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Materiały do poziomego oznakowania dróg. Właściwości fizyczne</w:t>
            </w:r>
          </w:p>
        </w:tc>
      </w:tr>
      <w:tr w:rsidR="006760D9" w:rsidRPr="006760D9" w:rsidTr="003E7BC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6a.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PN-EN 13036-4: 2004(U)</w:t>
            </w:r>
          </w:p>
        </w:tc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</w:tcPr>
          <w:p w:rsidR="006760D9" w:rsidRPr="006760D9" w:rsidRDefault="006760D9" w:rsidP="006760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760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Drogi samochodowe i lotniskowe – Metody badań – Część 4: Metoda pomiaru oporów poślizgu/poślizgnięcia na powierzchni: próba wahadła</w:t>
            </w:r>
          </w:p>
        </w:tc>
      </w:tr>
    </w:tbl>
    <w:p w:rsidR="006760D9" w:rsidRPr="006760D9" w:rsidRDefault="006760D9" w:rsidP="006760D9">
      <w:pPr>
        <w:keepNext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b/>
          <w:sz w:val="20"/>
          <w:szCs w:val="20"/>
          <w:lang w:val="de-DE" w:eastAsia="pl-PL"/>
        </w:rPr>
        <w:t xml:space="preserve">10.2. </w:t>
      </w:r>
      <w:r w:rsidRPr="006760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Przepisy związane i inne dokumenty</w:t>
      </w:r>
    </w:p>
    <w:p w:rsidR="006760D9" w:rsidRPr="006760D9" w:rsidRDefault="006760D9" w:rsidP="006760D9">
      <w:pPr>
        <w:numPr>
          <w:ilvl w:val="0"/>
          <w:numId w:val="10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Załącznik nr 2 do rozporządzenia Ministra Infrastruktury z dnia 3 lipca 2003 r. Szczegółowe warunki techniczne dla znaków drogowych poziomych i warunki ich umieszczania na drogach (Dz. U. nr 220, poz. 2181)</w:t>
      </w:r>
    </w:p>
    <w:p w:rsidR="006760D9" w:rsidRPr="006760D9" w:rsidRDefault="006760D9" w:rsidP="006760D9">
      <w:pPr>
        <w:numPr>
          <w:ilvl w:val="0"/>
          <w:numId w:val="10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Rozporządzenie  Ministra  Infrastruktury   z  dnia  11 sierpnia 2004 r.  w  sprawie  sposobów deklarowania zgodności wyrobów budowlanych oraz sposobu znakowania ich  znakiem budowlanym (Dz. U. nr 198, poz. 2041)</w:t>
      </w:r>
    </w:p>
    <w:p w:rsidR="006760D9" w:rsidRPr="006760D9" w:rsidRDefault="006760D9" w:rsidP="006760D9">
      <w:pPr>
        <w:numPr>
          <w:ilvl w:val="0"/>
          <w:numId w:val="10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Warunki Techniczne. Poziome znakowanie dróg. POD-97. Seria „I” - Informacje, Instrukcje. Zeszyt nr 55. 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IBDiM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, Warszawa, 1997</w:t>
      </w:r>
    </w:p>
    <w:p w:rsidR="006760D9" w:rsidRPr="006760D9" w:rsidRDefault="006760D9" w:rsidP="006760D9">
      <w:pPr>
        <w:numPr>
          <w:ilvl w:val="0"/>
          <w:numId w:val="10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Warunki Techniczne. Poziome znakowanie dróg. POD-2006. Seria „I” - Informacje, Instrukcje. </w:t>
      </w:r>
      <w:proofErr w:type="spellStart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IBDiM</w:t>
      </w:r>
      <w:proofErr w:type="spellEnd"/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, Warszawa, w opracowaniu</w:t>
      </w:r>
    </w:p>
    <w:p w:rsidR="006760D9" w:rsidRPr="006760D9" w:rsidRDefault="006760D9" w:rsidP="006760D9">
      <w:pPr>
        <w:numPr>
          <w:ilvl w:val="0"/>
          <w:numId w:val="10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Prawo przewozowe (Dz. U. nr 53 z 1984 r., poz. 272 z późniejszymi zmianami)</w:t>
      </w:r>
    </w:p>
    <w:p w:rsidR="006760D9" w:rsidRPr="006760D9" w:rsidRDefault="006760D9" w:rsidP="006760D9">
      <w:pPr>
        <w:numPr>
          <w:ilvl w:val="0"/>
          <w:numId w:val="10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Rozporządzenie  Ministra  Infrastruktury   z  dnia  11 sierpnia 2004 r.  w  sprawie  systemów oceny zgodności, wymagań jakie powinny spełniać notyfikowane jednostki uczestniczące w ocenie zgodności oraz sposobu oznaczania wyrobów budowlanych oznakowaniem CE (Dz. U. nr 195, poz. 2011)</w:t>
      </w:r>
    </w:p>
    <w:p w:rsidR="006760D9" w:rsidRPr="006760D9" w:rsidRDefault="006760D9" w:rsidP="006760D9">
      <w:pPr>
        <w:numPr>
          <w:ilvl w:val="0"/>
          <w:numId w:val="10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Rozporządzenie Ministra Zdrowia z dnia 2 września 2003 r. w sprawie oznakowania opakowań substancji niebezpiecznych i preparatów niebezpiecznych (Dz. U. nr 73, poz. 1679)</w:t>
      </w:r>
    </w:p>
    <w:p w:rsidR="006760D9" w:rsidRPr="006760D9" w:rsidRDefault="006760D9" w:rsidP="006760D9">
      <w:pPr>
        <w:numPr>
          <w:ilvl w:val="0"/>
          <w:numId w:val="10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Umowa europejska dotycząca międzynarodowego przewozu towarów niebezpiecznych (RID/ADR)</w:t>
      </w:r>
    </w:p>
    <w:p w:rsidR="006760D9" w:rsidRPr="006760D9" w:rsidRDefault="006760D9" w:rsidP="006760D9">
      <w:pPr>
        <w:numPr>
          <w:ilvl w:val="0"/>
          <w:numId w:val="10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60D9">
        <w:rPr>
          <w:rFonts w:ascii="Times New Roman" w:eastAsia="Times New Roman" w:hAnsi="Times New Roman" w:cs="Times New Roman"/>
          <w:sz w:val="20"/>
          <w:szCs w:val="20"/>
          <w:lang w:eastAsia="pl-PL"/>
        </w:rPr>
        <w:t>Rozporządzenie Ministra Infrastruktury z dnia 8 listopada 2004 r. w sprawie aprobat technicznych oraz jednostek organizacyjnych uprawnionych do ich wydania (Dz.U.             nr 249, poz. 2497)</w:t>
      </w:r>
    </w:p>
    <w:p w:rsidR="002D31F9" w:rsidRDefault="002D31F9" w:rsidP="006760D9"/>
    <w:sectPr w:rsidR="002D31F9" w:rsidSect="00F32192">
      <w:footerReference w:type="default" r:id="rId11"/>
      <w:pgSz w:w="11906" w:h="16838"/>
      <w:pgMar w:top="1417" w:right="849" w:bottom="1417" w:left="1417" w:header="708" w:footer="0" w:gutter="0"/>
      <w:pgNumType w:start="8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422" w:rsidRDefault="00CB5422" w:rsidP="00754E56">
      <w:pPr>
        <w:spacing w:after="0" w:line="240" w:lineRule="auto"/>
      </w:pPr>
      <w:r>
        <w:separator/>
      </w:r>
    </w:p>
  </w:endnote>
  <w:endnote w:type="continuationSeparator" w:id="0">
    <w:p w:rsidR="00CB5422" w:rsidRDefault="00CB5422" w:rsidP="00754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3071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271B9" w:rsidRDefault="00F271B9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2192">
          <w:rPr>
            <w:noProof/>
          </w:rPr>
          <w:t>103</w:t>
        </w:r>
        <w:r>
          <w:rPr>
            <w:noProof/>
          </w:rPr>
          <w:fldChar w:fldCharType="end"/>
        </w:r>
      </w:p>
    </w:sdtContent>
  </w:sdt>
  <w:p w:rsidR="00754E56" w:rsidRDefault="00754E5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422" w:rsidRDefault="00CB5422" w:rsidP="00754E56">
      <w:pPr>
        <w:spacing w:after="0" w:line="240" w:lineRule="auto"/>
      </w:pPr>
      <w:r>
        <w:separator/>
      </w:r>
    </w:p>
  </w:footnote>
  <w:footnote w:type="continuationSeparator" w:id="0">
    <w:p w:rsidR="00CB5422" w:rsidRDefault="00CB5422" w:rsidP="00754E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E60E522"/>
    <w:lvl w:ilvl="0">
      <w:numFmt w:val="decimal"/>
      <w:lvlText w:val="*"/>
      <w:lvlJc w:val="left"/>
    </w:lvl>
  </w:abstractNum>
  <w:abstractNum w:abstractNumId="1">
    <w:nsid w:val="00A848DF"/>
    <w:multiLevelType w:val="multilevel"/>
    <w:tmpl w:val="2C3C5958"/>
    <w:lvl w:ilvl="0">
      <w:start w:val="1"/>
      <w:numFmt w:val="decimal"/>
      <w:lvlText w:val="%1."/>
      <w:lvlJc w:val="left"/>
      <w:pPr>
        <w:tabs>
          <w:tab w:val="num" w:pos="417"/>
        </w:tabs>
        <w:ind w:left="57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5E3460"/>
    <w:multiLevelType w:val="singleLevel"/>
    <w:tmpl w:val="12FCC3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>
    <w:nsid w:val="17153F2F"/>
    <w:multiLevelType w:val="hybridMultilevel"/>
    <w:tmpl w:val="37400880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264D41"/>
    <w:multiLevelType w:val="singleLevel"/>
    <w:tmpl w:val="376E012C"/>
    <w:lvl w:ilvl="0">
      <w:start w:val="1"/>
      <w:numFmt w:val="decimal"/>
      <w:lvlText w:val="%1"/>
      <w:legacy w:legacy="1" w:legacySpace="120" w:legacyIndent="360"/>
      <w:lvlJc w:val="left"/>
    </w:lvl>
  </w:abstractNum>
  <w:abstractNum w:abstractNumId="5">
    <w:nsid w:val="1B4136AB"/>
    <w:multiLevelType w:val="singleLevel"/>
    <w:tmpl w:val="12FCC3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6">
    <w:nsid w:val="1D1F699F"/>
    <w:multiLevelType w:val="hybridMultilevel"/>
    <w:tmpl w:val="B880971A"/>
    <w:lvl w:ilvl="0" w:tplc="376E012C">
      <w:start w:val="1"/>
      <w:numFmt w:val="decimal"/>
      <w:lvlText w:val="%1"/>
      <w:legacy w:legacy="1" w:legacySpace="120" w:legacyIndent="360"/>
      <w:lvlJc w:val="left"/>
    </w:lvl>
    <w:lvl w:ilvl="1" w:tplc="4D62364C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D5792E"/>
    <w:multiLevelType w:val="hybridMultilevel"/>
    <w:tmpl w:val="6622A256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D32068C"/>
    <w:multiLevelType w:val="hybridMultilevel"/>
    <w:tmpl w:val="C67061AA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190A48"/>
    <w:multiLevelType w:val="singleLevel"/>
    <w:tmpl w:val="43102DDE"/>
    <w:lvl w:ilvl="0">
      <w:start w:val="7"/>
      <w:numFmt w:val="decimal"/>
      <w:lvlText w:val="%1."/>
      <w:lvlJc w:val="right"/>
      <w:pPr>
        <w:tabs>
          <w:tab w:val="num" w:pos="0"/>
        </w:tabs>
        <w:ind w:left="360" w:hanging="72"/>
      </w:pPr>
      <w:rPr>
        <w:rFonts w:hint="default"/>
      </w:rPr>
    </w:lvl>
  </w:abstractNum>
  <w:abstractNum w:abstractNumId="10">
    <w:nsid w:val="348A4474"/>
    <w:multiLevelType w:val="hybridMultilevel"/>
    <w:tmpl w:val="90603B60"/>
    <w:lvl w:ilvl="0" w:tplc="4D62364C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352334CF"/>
    <w:multiLevelType w:val="singleLevel"/>
    <w:tmpl w:val="376E012C"/>
    <w:lvl w:ilvl="0">
      <w:start w:val="1"/>
      <w:numFmt w:val="decimal"/>
      <w:lvlText w:val="%1"/>
      <w:legacy w:legacy="1" w:legacySpace="120" w:legacyIndent="360"/>
      <w:lvlJc w:val="left"/>
    </w:lvl>
  </w:abstractNum>
  <w:abstractNum w:abstractNumId="12">
    <w:nsid w:val="369247C3"/>
    <w:multiLevelType w:val="singleLevel"/>
    <w:tmpl w:val="376E012C"/>
    <w:lvl w:ilvl="0">
      <w:start w:val="1"/>
      <w:numFmt w:val="decimal"/>
      <w:lvlText w:val="%1"/>
      <w:legacy w:legacy="1" w:legacySpace="120" w:legacyIndent="360"/>
      <w:lvlJc w:val="left"/>
    </w:lvl>
  </w:abstractNum>
  <w:abstractNum w:abstractNumId="13">
    <w:nsid w:val="3AAD2DC6"/>
    <w:multiLevelType w:val="hybridMultilevel"/>
    <w:tmpl w:val="674C6D54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166F57"/>
    <w:multiLevelType w:val="hybridMultilevel"/>
    <w:tmpl w:val="47AC0926"/>
    <w:lvl w:ilvl="0" w:tplc="4D62364C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>
    <w:nsid w:val="5A861169"/>
    <w:multiLevelType w:val="hybridMultilevel"/>
    <w:tmpl w:val="11D43898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2373146"/>
    <w:multiLevelType w:val="hybridMultilevel"/>
    <w:tmpl w:val="2C3C5958"/>
    <w:lvl w:ilvl="0" w:tplc="E63E63E4">
      <w:start w:val="1"/>
      <w:numFmt w:val="decimal"/>
      <w:lvlText w:val="%1."/>
      <w:lvlJc w:val="left"/>
      <w:pPr>
        <w:tabs>
          <w:tab w:val="num" w:pos="417"/>
        </w:tabs>
        <w:ind w:left="57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D56604"/>
    <w:multiLevelType w:val="singleLevel"/>
    <w:tmpl w:val="0C7C5F60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8">
    <w:nsid w:val="7882734E"/>
    <w:multiLevelType w:val="hybridMultilevel"/>
    <w:tmpl w:val="8A903056"/>
    <w:lvl w:ilvl="0" w:tplc="376E012C">
      <w:start w:val="1"/>
      <w:numFmt w:val="decimal"/>
      <w:lvlText w:val="%1"/>
      <w:legacy w:legacy="1" w:legacySpace="120" w:legacyIndent="360"/>
      <w:lvlJc w:val="left"/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2">
    <w:abstractNumId w:val="2"/>
  </w:num>
  <w:num w:numId="3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4">
    <w:abstractNumId w:val="5"/>
  </w:num>
  <w:num w:numId="5">
    <w:abstractNumId w:val="11"/>
  </w:num>
  <w:num w:numId="6">
    <w:abstractNumId w:val="4"/>
  </w:num>
  <w:num w:numId="7">
    <w:abstractNumId w:val="0"/>
    <w:lvlOverride w:ilvl="0">
      <w:lvl w:ilvl="0">
        <w:start w:val="6"/>
        <w:numFmt w:val="bullet"/>
        <w:lvlText w:val="-"/>
        <w:legacy w:legacy="1" w:legacySpace="120" w:legacyIndent="360"/>
        <w:lvlJc w:val="left"/>
        <w:pPr>
          <w:ind w:left="1440" w:hanging="360"/>
        </w:pPr>
      </w:lvl>
    </w:lvlOverride>
  </w:num>
  <w:num w:numId="8">
    <w:abstractNumId w:val="12"/>
  </w:num>
  <w:num w:numId="9">
    <w:abstractNumId w:val="17"/>
  </w:num>
  <w:num w:numId="10">
    <w:abstractNumId w:val="9"/>
  </w:num>
  <w:num w:numId="11">
    <w:abstractNumId w:val="6"/>
  </w:num>
  <w:num w:numId="12">
    <w:abstractNumId w:val="16"/>
  </w:num>
  <w:num w:numId="13">
    <w:abstractNumId w:val="3"/>
  </w:num>
  <w:num w:numId="14">
    <w:abstractNumId w:val="1"/>
  </w:num>
  <w:num w:numId="15">
    <w:abstractNumId w:val="8"/>
  </w:num>
  <w:num w:numId="16">
    <w:abstractNumId w:val="10"/>
  </w:num>
  <w:num w:numId="17">
    <w:abstractNumId w:val="7"/>
  </w:num>
  <w:num w:numId="18">
    <w:abstractNumId w:val="15"/>
  </w:num>
  <w:num w:numId="19">
    <w:abstractNumId w:val="13"/>
  </w:num>
  <w:num w:numId="20">
    <w:abstractNumId w:val="14"/>
  </w:num>
  <w:num w:numId="21">
    <w:abstractNumId w:val="18"/>
  </w:num>
  <w:num w:numId="22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7544"/>
    <w:rsid w:val="00080D55"/>
    <w:rsid w:val="000E7544"/>
    <w:rsid w:val="002704A9"/>
    <w:rsid w:val="002D31F9"/>
    <w:rsid w:val="00403503"/>
    <w:rsid w:val="004835A9"/>
    <w:rsid w:val="00595344"/>
    <w:rsid w:val="005A5C87"/>
    <w:rsid w:val="00601424"/>
    <w:rsid w:val="006760D9"/>
    <w:rsid w:val="0071783C"/>
    <w:rsid w:val="00754E56"/>
    <w:rsid w:val="008133D7"/>
    <w:rsid w:val="00A84488"/>
    <w:rsid w:val="00CB5422"/>
    <w:rsid w:val="00D027F4"/>
    <w:rsid w:val="00E70E56"/>
    <w:rsid w:val="00F271B9"/>
    <w:rsid w:val="00F32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31F9"/>
  </w:style>
  <w:style w:type="paragraph" w:styleId="Nagwek1">
    <w:name w:val="heading 1"/>
    <w:basedOn w:val="Normalny"/>
    <w:link w:val="Nagwek1Znak"/>
    <w:qFormat/>
    <w:rsid w:val="000E75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qFormat/>
    <w:rsid w:val="000E754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760D9"/>
    <w:pPr>
      <w:keepNext/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  <w:outlineLvl w:val="2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basedOn w:val="Normalny"/>
    <w:link w:val="Nagwek4Znak"/>
    <w:qFormat/>
    <w:rsid w:val="000E754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7544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E7544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0E754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E754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0E7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E754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0E7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E754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0E7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E754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E7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E754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0E7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E754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0E7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E754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0E7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6760D9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760D9"/>
  </w:style>
  <w:style w:type="paragraph" w:styleId="Spistreci1">
    <w:name w:val="toc 1"/>
    <w:basedOn w:val="Normalny"/>
    <w:next w:val="Normalny"/>
    <w:semiHidden/>
    <w:rsid w:val="006760D9"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b/>
      <w:caps/>
      <w:sz w:val="20"/>
      <w:szCs w:val="20"/>
      <w:lang w:eastAsia="pl-PL"/>
    </w:rPr>
  </w:style>
  <w:style w:type="paragraph" w:styleId="Spistreci2">
    <w:name w:val="toc 2"/>
    <w:basedOn w:val="Normalny"/>
    <w:next w:val="Normalny"/>
    <w:semiHidden/>
    <w:rsid w:val="006760D9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200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semiHidden/>
    <w:rsid w:val="006760D9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400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semiHidden/>
    <w:rsid w:val="006760D9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5">
    <w:name w:val="toc 5"/>
    <w:basedOn w:val="Normalny"/>
    <w:next w:val="Normalny"/>
    <w:semiHidden/>
    <w:rsid w:val="006760D9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8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6">
    <w:name w:val="toc 6"/>
    <w:basedOn w:val="Normalny"/>
    <w:next w:val="Normalny"/>
    <w:semiHidden/>
    <w:rsid w:val="006760D9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0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7">
    <w:name w:val="toc 7"/>
    <w:basedOn w:val="Normalny"/>
    <w:next w:val="Normalny"/>
    <w:semiHidden/>
    <w:rsid w:val="006760D9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2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8">
    <w:name w:val="toc 8"/>
    <w:basedOn w:val="Normalny"/>
    <w:next w:val="Normalny"/>
    <w:semiHidden/>
    <w:rsid w:val="006760D9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4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9">
    <w:name w:val="toc 9"/>
    <w:basedOn w:val="Normalny"/>
    <w:next w:val="Normalny"/>
    <w:semiHidden/>
    <w:rsid w:val="006760D9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character" w:styleId="Numerstrony">
    <w:name w:val="page number"/>
    <w:basedOn w:val="Domylnaczcionkaakapitu"/>
    <w:rsid w:val="006760D9"/>
  </w:style>
  <w:style w:type="paragraph" w:customStyle="1" w:styleId="StylIwony">
    <w:name w:val="Styl Iwony"/>
    <w:basedOn w:val="Normalny"/>
    <w:rsid w:val="006760D9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customStyle="1" w:styleId="tekstost">
    <w:name w:val="tekst ost"/>
    <w:basedOn w:val="Normalny"/>
    <w:rsid w:val="006760D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6760D9"/>
    <w:rPr>
      <w:vertAlign w:val="superscript"/>
    </w:rPr>
  </w:style>
  <w:style w:type="paragraph" w:customStyle="1" w:styleId="Standardowytekst">
    <w:name w:val="Standardowy.tekst"/>
    <w:rsid w:val="006760D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6760D9"/>
    <w:pPr>
      <w:overflowPunct w:val="0"/>
      <w:autoSpaceDE w:val="0"/>
      <w:autoSpaceDN w:val="0"/>
      <w:adjustRightInd w:val="0"/>
      <w:spacing w:after="0" w:line="240" w:lineRule="auto"/>
      <w:ind w:left="708"/>
      <w:textAlignment w:val="baseline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Rysunek">
    <w:name w:val="Rysunek"/>
    <w:basedOn w:val="Normalny"/>
    <w:next w:val="Tekstpodstawowy"/>
    <w:rsid w:val="006760D9"/>
    <w:pPr>
      <w:keepLines/>
      <w:tabs>
        <w:tab w:val="left" w:pos="-720"/>
      </w:tabs>
      <w:suppressAutoHyphens/>
      <w:overflowPunct w:val="0"/>
      <w:autoSpaceDE w:val="0"/>
      <w:autoSpaceDN w:val="0"/>
      <w:adjustRightInd w:val="0"/>
      <w:spacing w:before="26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noProof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760D9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760D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rsid w:val="006760D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rsid w:val="006760D9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7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4532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164248770">
          <w:marLeft w:val="9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17</Pages>
  <Words>7952</Words>
  <Characters>47714</Characters>
  <Application>Microsoft Office Word</Application>
  <DocSecurity>0</DocSecurity>
  <Lines>397</Lines>
  <Paragraphs>111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Bakalarski</dc:creator>
  <cp:keywords/>
  <dc:description/>
  <cp:lastModifiedBy>admin</cp:lastModifiedBy>
  <cp:revision>10</cp:revision>
  <dcterms:created xsi:type="dcterms:W3CDTF">2017-01-29T10:42:00Z</dcterms:created>
  <dcterms:modified xsi:type="dcterms:W3CDTF">2019-04-25T10:57:00Z</dcterms:modified>
</cp:coreProperties>
</file>